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8</w:t>
      </w:r>
    </w:p>
    <w:p>
      <w:pPr>
        <w:spacing w:after="0" w:line="238" w:lineRule="auto"/>
        <w:rPr>
          <w:sz w:val="20"/>
          <w:szCs w:val="20"/>
          <w:color w:val="auto"/>
        </w:rPr>
      </w:pPr>
      <w:r>
        <w:rPr>
          <w:rFonts w:ascii="Courier New" w:cs="Courier New" w:eastAsia="Courier New" w:hAnsi="Courier New"/>
          <w:sz w:val="18"/>
          <w:szCs w:val="18"/>
          <w:color w:val="auto"/>
        </w:rPr>
        <w:t>Smith (AO) Corporation</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 831865209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831865209</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4: Commonwealth of Massachusetts</w:t>
      </w:r>
    </w:p>
    <w:p>
      <w:pPr>
        <w:sectPr>
          <w:pgSz w:w="11900" w:h="16855" w:orient="portrait"/>
          <w:cols w:equalWidth="0" w:num="1">
            <w:col w:w="10219"/>
          </w:cols>
          <w:pgMar w:left="240" w:top="852" w:right="1440" w:bottom="0" w:gutter="0" w:footer="0" w:header="0"/>
        </w:sectPr>
      </w:pPr>
    </w:p>
    <w:p>
      <w:pPr>
        <w:spacing w:after="0" w:line="21" w:lineRule="exact"/>
        <w:rPr>
          <w:sz w:val="24"/>
          <w:szCs w:val="24"/>
          <w:color w:val="auto"/>
        </w:rPr>
      </w:pPr>
    </w:p>
    <w:p>
      <w:pPr>
        <w:spacing w:after="0" w:line="271" w:lineRule="auto"/>
        <w:rPr>
          <w:sz w:val="20"/>
          <w:szCs w:val="20"/>
          <w:color w:val="auto"/>
        </w:rPr>
      </w:pPr>
      <w:r>
        <w:rPr>
          <w:rFonts w:ascii="Courier New" w:cs="Courier New" w:eastAsia="Courier New" w:hAnsi="Courier New"/>
          <w:sz w:val="16"/>
          <w:szCs w:val="16"/>
          <w:color w:val="auto"/>
        </w:rPr>
        <w:t>Item 5: None Item 6: None Item 7: 898,000 Item 8: None Item 9: 898,000 Item 11: 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8.03%</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218" w:lineRule="exact"/>
        <w:rPr>
          <w:sz w:val="24"/>
          <w:szCs w:val="24"/>
          <w:color w:val="auto"/>
        </w:rPr>
      </w:pPr>
    </w:p>
    <w:p>
      <w:pPr>
        <w:sectPr>
          <w:pgSz w:w="11900" w:h="16855" w:orient="portrait"/>
          <w:cols w:equalWidth="0" w:num="2">
            <w:col w:w="1580" w:space="120"/>
            <w:col w:w="8519"/>
          </w:cols>
          <w:pgMar w:left="240" w:top="852" w:right="1440" w:bottom="0" w:gutter="0" w:footer="0" w:header="0"/>
          <w:type w:val="continuous"/>
        </w:sectPr>
      </w:pP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831865209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Edward C. Johnson 3d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United States of America</w:t>
      </w:r>
    </w:p>
    <w:p>
      <w:pPr>
        <w:sectPr>
          <w:pgSz w:w="11900" w:h="16855" w:orient="portrait"/>
          <w:cols w:equalWidth="0" w:num="1">
            <w:col w:w="10219"/>
          </w:cols>
          <w:pgMar w:left="240" w:top="852" w:right="1440" w:bottom="0" w:gutter="0" w:footer="0" w:header="0"/>
          <w:type w:val="continuous"/>
        </w:sectPr>
      </w:pPr>
    </w:p>
    <w:p>
      <w:pPr>
        <w:spacing w:after="0" w:line="4" w:lineRule="exact"/>
        <w:rPr>
          <w:sz w:val="24"/>
          <w:szCs w:val="24"/>
          <w:color w:val="auto"/>
        </w:rPr>
      </w:pPr>
    </w:p>
    <w:p>
      <w:pPr>
        <w:spacing w:after="0" w:line="271" w:lineRule="auto"/>
        <w:rPr>
          <w:sz w:val="20"/>
          <w:szCs w:val="20"/>
          <w:color w:val="auto"/>
        </w:rPr>
      </w:pPr>
      <w:r>
        <w:rPr>
          <w:rFonts w:ascii="Courier New" w:cs="Courier New" w:eastAsia="Courier New" w:hAnsi="Courier New"/>
          <w:sz w:val="16"/>
          <w:szCs w:val="16"/>
          <w:color w:val="auto"/>
        </w:rPr>
        <w:t>Item 5: None Item 6: None Item 7: 898,000 Item 8: None Item 9: 898,000 Item 11: 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8.03%</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w:t>
      </w:r>
    </w:p>
    <w:p>
      <w:pPr>
        <w:spacing w:after="0" w:line="218" w:lineRule="exact"/>
        <w:rPr>
          <w:sz w:val="24"/>
          <w:szCs w:val="24"/>
          <w:color w:val="auto"/>
        </w:rPr>
      </w:pPr>
    </w:p>
    <w:p>
      <w:pPr>
        <w:sectPr>
          <w:pgSz w:w="11900" w:h="16855" w:orient="portrait"/>
          <w:cols w:equalWidth="0" w:num="2">
            <w:col w:w="1580" w:space="120"/>
            <w:col w:w="8519"/>
          </w:cols>
          <w:pgMar w:left="240" w:top="852" w:right="1440" w:bottom="0" w:gutter="0" w:footer="0" w:header="0"/>
          <w:type w:val="continuous"/>
        </w:sectPr>
      </w:pPr>
    </w:p>
    <w:p>
      <w:pPr>
        <w:spacing w:after="0" w:line="38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831865209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Abigail P. Johnson</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United States of America</w:t>
      </w:r>
    </w:p>
    <w:p>
      <w:pPr>
        <w:sectPr>
          <w:pgSz w:w="11900" w:h="16855" w:orient="portrait"/>
          <w:cols w:equalWidth="0" w:num="1">
            <w:col w:w="10219"/>
          </w:cols>
          <w:pgMar w:left="240" w:top="852" w:right="1440" w:bottom="0" w:gutter="0" w:footer="0" w:header="0"/>
          <w:type w:val="continuous"/>
        </w:sectPr>
      </w:pPr>
    </w:p>
    <w:p>
      <w:pPr>
        <w:spacing w:after="0" w:line="4" w:lineRule="exact"/>
        <w:rPr>
          <w:sz w:val="24"/>
          <w:szCs w:val="24"/>
          <w:color w:val="auto"/>
        </w:rPr>
      </w:pPr>
    </w:p>
    <w:p>
      <w:pPr>
        <w:spacing w:after="0" w:line="271" w:lineRule="auto"/>
        <w:rPr>
          <w:sz w:val="20"/>
          <w:szCs w:val="20"/>
          <w:color w:val="auto"/>
        </w:rPr>
      </w:pPr>
      <w:r>
        <w:rPr>
          <w:rFonts w:ascii="Courier New" w:cs="Courier New" w:eastAsia="Courier New" w:hAnsi="Courier New"/>
          <w:sz w:val="16"/>
          <w:szCs w:val="16"/>
          <w:color w:val="auto"/>
        </w:rPr>
        <w:t>Item 5: None Item 6: None Item 7: 898,000 Item 8: None Item 9: 898,000 Item 11: 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8.03%</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w:t>
      </w:r>
    </w:p>
    <w:p>
      <w:pPr>
        <w:spacing w:after="0" w:line="218" w:lineRule="exact"/>
        <w:rPr>
          <w:sz w:val="24"/>
          <w:szCs w:val="24"/>
          <w:color w:val="auto"/>
        </w:rPr>
      </w:pPr>
    </w:p>
    <w:p>
      <w:pPr>
        <w:sectPr>
          <w:pgSz w:w="11900" w:h="16855" w:orient="portrait"/>
          <w:cols w:equalWidth="0" w:num="2">
            <w:col w:w="1580" w:space="120"/>
            <w:col w:w="8519"/>
          </w:cols>
          <w:pgMar w:left="240" w:top="852" w:right="1440" w:bottom="0" w:gutter="0" w:footer="0" w:header="0"/>
          <w:type w:val="continuous"/>
        </w:sectPr>
      </w:pPr>
    </w:p>
    <w:p>
      <w:pPr>
        <w:spacing w:after="0" w:line="38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Smith (AO) Corporation</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P.O. Box 23972</w:t>
      </w:r>
    </w:p>
    <w:p>
      <w:pPr>
        <w:ind w:left="1700"/>
        <w:spacing w:after="0"/>
        <w:tabs>
          <w:tab w:leader="none" w:pos="3260" w:val="left"/>
        </w:tabs>
        <w:rPr>
          <w:sz w:val="20"/>
          <w:szCs w:val="20"/>
          <w:color w:val="auto"/>
        </w:rPr>
      </w:pPr>
      <w:r>
        <w:rPr>
          <w:rFonts w:ascii="Courier New" w:cs="Courier New" w:eastAsia="Courier New" w:hAnsi="Courier New"/>
          <w:sz w:val="18"/>
          <w:szCs w:val="18"/>
          <w:color w:val="auto"/>
        </w:rPr>
        <w:t>Milwaukee, WI</w:t>
      </w:r>
      <w:r>
        <w:rPr>
          <w:sz w:val="20"/>
          <w:szCs w:val="20"/>
          <w:color w:val="auto"/>
        </w:rPr>
        <w:tab/>
      </w:r>
      <w:r>
        <w:rPr>
          <w:rFonts w:ascii="Courier New" w:cs="Courier New" w:eastAsia="Courier New" w:hAnsi="Courier New"/>
          <w:sz w:val="16"/>
          <w:szCs w:val="16"/>
          <w:color w:val="auto"/>
        </w:rPr>
        <w:t>53223-0972</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or Principal Business Office or, if None, Residence:</w:t>
      </w:r>
    </w:p>
    <w:p>
      <w:pPr>
        <w:spacing w:after="0" w:line="201" w:lineRule="exact"/>
        <w:rPr>
          <w:sz w:val="24"/>
          <w:szCs w:val="24"/>
          <w:color w:val="auto"/>
        </w:rPr>
      </w:pPr>
    </w:p>
    <w:p>
      <w:pPr>
        <w:ind w:left="1700"/>
        <w:spacing w:after="0"/>
        <w:tabs>
          <w:tab w:leader="none" w:pos="6420" w:val="left"/>
        </w:tabs>
        <w:rPr>
          <w:sz w:val="20"/>
          <w:szCs w:val="20"/>
          <w:color w:val="auto"/>
        </w:rPr>
      </w:pPr>
      <w:r>
        <w:rPr>
          <w:rFonts w:ascii="Courier New" w:cs="Courier New" w:eastAsia="Courier New" w:hAnsi="Courier New"/>
          <w:sz w:val="18"/>
          <w:szCs w:val="18"/>
          <w:color w:val="auto"/>
        </w:rPr>
        <w:t>82 Devonshire Street, Boston, Massachusetts</w:t>
      </w:r>
      <w:r>
        <w:rPr>
          <w:sz w:val="20"/>
          <w:szCs w:val="20"/>
          <w:color w:val="auto"/>
        </w:rPr>
        <w:tab/>
      </w:r>
      <w:r>
        <w:rPr>
          <w:rFonts w:ascii="Courier New" w:cs="Courier New" w:eastAsia="Courier New" w:hAnsi="Courier New"/>
          <w:sz w:val="16"/>
          <w:szCs w:val="16"/>
          <w:color w:val="auto"/>
        </w:rPr>
        <w:t>02109</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ectPr>
          <w:pgSz w:w="11900" w:h="16855" w:orient="portrait"/>
          <w:cols w:equalWidth="0" w:num="1">
            <w:col w:w="10219"/>
          </w:cols>
          <w:pgMar w:left="240" w:top="852" w:right="1440" w:bottom="0" w:gutter="0" w:footer="0" w:header="0"/>
          <w:type w:val="continuous"/>
        </w:sectPr>
      </w:pPr>
    </w:p>
    <w:bookmarkStart w:id="1" w:name="page2"/>
    <w:bookmarkEnd w:id="1"/>
    <w:p>
      <w:pPr>
        <w:ind w:left="1700"/>
        <w:spacing w:after="0"/>
        <w:rPr>
          <w:sz w:val="20"/>
          <w:szCs w:val="20"/>
          <w:color w:val="auto"/>
        </w:rPr>
      </w:pPr>
      <w:r>
        <w:rPr>
          <w:rFonts w:ascii="Courier New" w:cs="Courier New" w:eastAsia="Courier New" w:hAnsi="Courier New"/>
          <w:sz w:val="18"/>
          <w:szCs w:val="18"/>
          <w:color w:val="auto"/>
        </w:rPr>
        <w:t>831865209</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898,000</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sz w:val="20"/>
          <w:szCs w:val="20"/>
          <w:color w:val="auto"/>
        </w:rPr>
      </w:pPr>
      <w:r>
        <w:rPr>
          <w:rFonts w:ascii="Courier New" w:cs="Courier New" w:eastAsia="Courier New" w:hAnsi="Courier New"/>
          <w:sz w:val="18"/>
          <w:szCs w:val="18"/>
          <w:color w:val="auto"/>
        </w:rPr>
        <w:t>8.03%</w:t>
      </w:r>
    </w:p>
    <w:p>
      <w:pPr>
        <w:spacing w:after="0" w:line="202"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898,000</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Smith (AO) Corporation. The interest of one person, Fidelity Magellan Fund, an investment company registered under the Investment Company Act of 1940, in the common stock of Smith (AO) Corporation, amounted to 898,000 shares or 8.03% of the total outstanding common stock at December 31, 1997.</w:t>
      </w:r>
    </w:p>
    <w:p>
      <w:pPr>
        <w:spacing w:after="0" w:line="212"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and 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w:t>
      </w:r>
    </w:p>
    <w:p>
      <w:pPr>
        <w:ind w:right="3579"/>
        <w:spacing w:after="0" w:line="237" w:lineRule="auto"/>
        <w:rPr>
          <w:sz w:val="20"/>
          <w:szCs w:val="20"/>
          <w:color w:val="auto"/>
        </w:rPr>
      </w:pPr>
      <w:r>
        <w:rPr>
          <w:rFonts w:ascii="Courier New" w:cs="Courier New" w:eastAsia="Courier New" w:hAnsi="Courier New"/>
          <w:sz w:val="18"/>
          <w:szCs w:val="18"/>
          <w:color w:val="auto"/>
        </w:rPr>
        <w:t>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5"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w:t>
      </w:r>
    </w:p>
    <w:p>
      <w:pPr>
        <w:spacing w:after="0" w:line="6" w:lineRule="exact"/>
        <w:rPr>
          <w:sz w:val="20"/>
          <w:szCs w:val="20"/>
          <w:color w:val="auto"/>
        </w:rPr>
      </w:pPr>
    </w:p>
    <w:p>
      <w:pPr>
        <w:ind w:right="4099"/>
        <w:spacing w:after="0" w:line="236" w:lineRule="auto"/>
        <w:rPr>
          <w:sz w:val="20"/>
          <w:szCs w:val="20"/>
          <w:color w:val="auto"/>
        </w:rPr>
      </w:pPr>
      <w:r>
        <w:rPr>
          <w:rFonts w:ascii="Courier New" w:cs="Courier New" w:eastAsia="Courier New" w:hAnsi="Courier New"/>
          <w:sz w:val="18"/>
          <w:szCs w:val="18"/>
          <w:color w:val="auto"/>
        </w:rPr>
        <w:t>Schedule 13G in connection with FMR Corp.'s beneficial ownership of the common stock of Smith (AO) Corporation at December 31, 1997 is true, complete and correct.</w:t>
      </w: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14, 1998</w:t>
      </w:r>
    </w:p>
    <w:p>
      <w:pPr>
        <w:sectPr>
          <w:pgSz w:w="11900" w:h="16838" w:orient="portrait"/>
          <w:cols w:equalWidth="0" w:num="1">
            <w:col w:w="10219"/>
          </w:cols>
          <w:pgMar w:left="240" w:top="33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7039"/>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w:t>
      </w:r>
    </w:p>
    <w:p>
      <w:pPr>
        <w:spacing w:after="0"/>
        <w:rPr>
          <w:sz w:val="20"/>
          <w:szCs w:val="20"/>
          <w:color w:val="auto"/>
        </w:rPr>
      </w:pPr>
      <w:r>
        <w:rPr>
          <w:rFonts w:ascii="Courier New" w:cs="Courier New" w:eastAsia="Courier New" w:hAnsi="Courier New"/>
          <w:sz w:val="18"/>
          <w:szCs w:val="18"/>
          <w:color w:val="auto"/>
        </w:rPr>
        <w:t>Attorney</w:t>
      </w:r>
    </w:p>
    <w:p>
      <w:pPr>
        <w:spacing w:after="0" w:line="237" w:lineRule="auto"/>
        <w:rPr>
          <w:sz w:val="20"/>
          <w:szCs w:val="20"/>
          <w:color w:val="auto"/>
        </w:rPr>
      </w:pPr>
      <w:r>
        <w:rPr>
          <w:rFonts w:ascii="Courier New" w:cs="Courier New" w:eastAsia="Courier New" w:hAnsi="Courier New"/>
          <w:sz w:val="18"/>
          <w:szCs w:val="18"/>
          <w:color w:val="auto"/>
        </w:rPr>
        <w:t>dated December 30, 1997, by</w:t>
      </w:r>
    </w:p>
    <w:p>
      <w:pPr>
        <w:spacing w:after="0" w:line="238" w:lineRule="auto"/>
        <w:rPr>
          <w:sz w:val="20"/>
          <w:szCs w:val="20"/>
          <w:color w:val="auto"/>
        </w:rPr>
      </w:pPr>
      <w:r>
        <w:rPr>
          <w:rFonts w:ascii="Courier New" w:cs="Courier New" w:eastAsia="Courier New" w:hAnsi="Courier New"/>
          <w:sz w:val="18"/>
          <w:szCs w:val="18"/>
          <w:color w:val="auto"/>
        </w:rPr>
        <w:t>and on behalf</w:t>
      </w:r>
    </w:p>
    <w:p>
      <w:pPr>
        <w:spacing w:after="0"/>
        <w:rPr>
          <w:sz w:val="20"/>
          <w:szCs w:val="20"/>
          <w:color w:val="auto"/>
        </w:rPr>
      </w:pPr>
      <w:r>
        <w:rPr>
          <w:rFonts w:ascii="Courier New" w:cs="Courier New" w:eastAsia="Courier New" w:hAnsi="Courier New"/>
          <w:sz w:val="18"/>
          <w:szCs w:val="18"/>
          <w:color w:val="auto"/>
        </w:rPr>
        <w:t>of FMR Corp. and its direct</w:t>
      </w:r>
    </w:p>
    <w:p>
      <w:pPr>
        <w:spacing w:after="0" w:line="237" w:lineRule="auto"/>
        <w:rPr>
          <w:sz w:val="20"/>
          <w:szCs w:val="20"/>
          <w:color w:val="auto"/>
        </w:rPr>
      </w:pPr>
      <w:r>
        <w:rPr>
          <w:rFonts w:ascii="Courier New" w:cs="Courier New" w:eastAsia="Courier New" w:hAnsi="Courier New"/>
          <w:sz w:val="18"/>
          <w:szCs w:val="18"/>
          <w:color w:val="auto"/>
        </w:rPr>
        <w:t>and indirect</w:t>
      </w:r>
    </w:p>
    <w:p>
      <w:pPr>
        <w:spacing w:after="0"/>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898,000 shares or 8.03% of the common stock outstanding of Smith (AO) Corporation ("the Company") as a result of acting as investment adviser to various investment companies registered under Section 8 of the Investment Company Act of 1940.</w:t>
      </w:r>
    </w:p>
    <w:p>
      <w:pPr>
        <w:spacing w:after="0" w:line="212" w:lineRule="exact"/>
        <w:rPr>
          <w:sz w:val="20"/>
          <w:szCs w:val="20"/>
          <w:color w:val="auto"/>
        </w:rPr>
      </w:pPr>
    </w:p>
    <w:p>
      <w:pPr>
        <w:ind w:right="1679" w:firstLine="843"/>
        <w:spacing w:after="0" w:line="237" w:lineRule="auto"/>
        <w:rPr>
          <w:sz w:val="20"/>
          <w:szCs w:val="20"/>
          <w:color w:val="auto"/>
        </w:rPr>
      </w:pPr>
      <w:r>
        <w:rPr>
          <w:rFonts w:ascii="Courier New" w:cs="Courier New" w:eastAsia="Courier New" w:hAnsi="Courier New"/>
          <w:sz w:val="18"/>
          <w:szCs w:val="18"/>
          <w:color w:val="auto"/>
        </w:rPr>
        <w:t>The ownership of one investment company, Fidelity Magellan Fund, amounted to 898,000 shares or 8.03% of the common stock outstanding. Fidelity Magellan Fund has its principal business office at 82 Devonshire Street, Boston, Massachusetts 02109.</w:t>
      </w:r>
    </w:p>
    <w:p>
      <w:pPr>
        <w:spacing w:after="0" w:line="207" w:lineRule="exact"/>
        <w:rPr>
          <w:sz w:val="20"/>
          <w:szCs w:val="20"/>
          <w:color w:val="auto"/>
        </w:rPr>
      </w:pPr>
    </w:p>
    <w:p>
      <w:pPr>
        <w:ind w:right="1679" w:firstLine="843"/>
        <w:spacing w:after="0" w:line="290" w:lineRule="auto"/>
        <w:rPr>
          <w:sz w:val="20"/>
          <w:szCs w:val="20"/>
          <w:color w:val="auto"/>
        </w:rPr>
      </w:pPr>
      <w:r>
        <w:rPr>
          <w:rFonts w:ascii="Courier New" w:cs="Courier New" w:eastAsia="Courier New" w:hAnsi="Courier New"/>
          <w:sz w:val="16"/>
          <w:szCs w:val="16"/>
          <w:color w:val="auto"/>
        </w:rPr>
        <w:t>Edward C. Johnson 3d, FMR Corp., through its control of Fidelity, and the funds each has sole power to dispose of the 898,000 shares owned by the Funds.</w:t>
      </w:r>
    </w:p>
    <w:p>
      <w:pPr>
        <w:spacing w:after="0" w:line="170"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09" w:lineRule="exact"/>
        <w:rPr>
          <w:sz w:val="20"/>
          <w:szCs w:val="20"/>
          <w:color w:val="auto"/>
        </w:rPr>
      </w:pPr>
    </w:p>
    <w:p>
      <w:pPr>
        <w:ind w:right="187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and trusts for their benefit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6" w:lineRule="exact"/>
        <w:rPr>
          <w:sz w:val="20"/>
          <w:szCs w:val="20"/>
          <w:color w:val="auto"/>
        </w:rPr>
      </w:pPr>
    </w:p>
    <w:p>
      <w:pPr>
        <w:ind w:right="1879" w:firstLine="843"/>
        <w:spacing w:after="0" w:line="268" w:lineRule="auto"/>
        <w:rPr>
          <w:sz w:val="20"/>
          <w:szCs w:val="20"/>
          <w:color w:val="auto"/>
        </w:rPr>
      </w:pPr>
      <w:r>
        <w:rPr>
          <w:rFonts w:ascii="Courier New" w:cs="Courier New" w:eastAsia="Courier New" w:hAnsi="Courier New"/>
          <w:sz w:val="16"/>
          <w:szCs w:val="16"/>
          <w:color w:val="auto"/>
        </w:rPr>
        <w:t>The undersigned persons, on February 14, 1998, agree and consent to the joint filing on their behalf of this Schedule 13G in connection with their beneficial ownership of the common stock of Smith (AO) Corporation at December</w:t>
      </w:r>
    </w:p>
    <w:tbl>
      <w:tblPr>
        <w:tblLayout w:type="fixed"/>
        <w:tblInd w:w="0" w:type="dxa"/>
        <w:tblCellMar>
          <w:top w:w="0" w:type="dxa"/>
          <w:left w:w="0" w:type="dxa"/>
          <w:bottom w:w="0" w:type="dxa"/>
          <w:right w:w="0" w:type="dxa"/>
        </w:tblCellMar>
      </w:tblPr>
      <w:tr>
        <w:trPr>
          <w:trHeight w:val="199"/>
        </w:trPr>
        <w:tc>
          <w:tcPr>
            <w:tcW w:w="38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2"/>
              </w:rPr>
              <w:t>31,</w:t>
            </w:r>
          </w:p>
        </w:tc>
        <w:tc>
          <w:tcPr>
            <w:tcW w:w="1000" w:type="dxa"/>
            <w:vAlign w:val="bottom"/>
          </w:tcPr>
          <w:p>
            <w:pPr>
              <w:jc w:val="right"/>
              <w:ind w:right="332"/>
              <w:spacing w:after="0" w:line="198" w:lineRule="exact"/>
              <w:rPr>
                <w:sz w:val="20"/>
                <w:szCs w:val="20"/>
                <w:color w:val="auto"/>
              </w:rPr>
            </w:pPr>
            <w:r>
              <w:rPr>
                <w:rFonts w:ascii="Courier New" w:cs="Courier New" w:eastAsia="Courier New" w:hAnsi="Courier New"/>
                <w:sz w:val="18"/>
                <w:szCs w:val="18"/>
                <w:color w:val="auto"/>
              </w:rPr>
              <w:t>1997.</w:t>
            </w:r>
          </w:p>
        </w:tc>
        <w:tc>
          <w:tcPr>
            <w:tcW w:w="2100" w:type="dxa"/>
            <w:vAlign w:val="bottom"/>
          </w:tcPr>
          <w:p>
            <w:pPr>
              <w:spacing w:after="0"/>
              <w:rPr>
                <w:sz w:val="17"/>
                <w:szCs w:val="17"/>
                <w:color w:val="auto"/>
              </w:rPr>
            </w:pPr>
          </w:p>
        </w:tc>
      </w:tr>
      <w:tr>
        <w:trPr>
          <w:trHeight w:val="203"/>
        </w:trPr>
        <w:tc>
          <w:tcPr>
            <w:tcW w:w="380" w:type="dxa"/>
            <w:vAlign w:val="bottom"/>
          </w:tcPr>
          <w:p>
            <w:pPr>
              <w:spacing w:after="0"/>
              <w:rPr>
                <w:sz w:val="17"/>
                <w:szCs w:val="17"/>
                <w:color w:val="auto"/>
              </w:rPr>
            </w:pPr>
          </w:p>
        </w:tc>
        <w:tc>
          <w:tcPr>
            <w:tcW w:w="310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FMR Corp.</w:t>
            </w:r>
          </w:p>
        </w:tc>
      </w:tr>
      <w:tr>
        <w:trPr>
          <w:trHeight w:val="203"/>
        </w:trPr>
        <w:tc>
          <w:tcPr>
            <w:tcW w:w="380" w:type="dxa"/>
            <w:vAlign w:val="bottom"/>
          </w:tcPr>
          <w:p>
            <w:pPr>
              <w:spacing w:after="0"/>
              <w:rPr>
                <w:sz w:val="17"/>
                <w:szCs w:val="17"/>
                <w:color w:val="auto"/>
              </w:rPr>
            </w:pPr>
          </w:p>
        </w:tc>
        <w:tc>
          <w:tcPr>
            <w:tcW w:w="1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By</w:t>
            </w:r>
          </w:p>
        </w:tc>
        <w:tc>
          <w:tcPr>
            <w:tcW w:w="21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5"/>
              </w:rPr>
              <w:t>/s/Eric D. Roiter</w:t>
            </w:r>
          </w:p>
        </w:tc>
      </w:tr>
    </w:tbl>
    <w:p>
      <w:pPr>
        <w:spacing w:after="0" w:line="238" w:lineRule="auto"/>
        <w:rPr>
          <w:sz w:val="20"/>
          <w:szCs w:val="20"/>
          <w:color w:val="auto"/>
        </w:rPr>
      </w:pPr>
      <w:r>
        <w:rPr>
          <w:rFonts w:ascii="Courier New" w:cs="Courier New" w:eastAsia="Courier New" w:hAnsi="Courier New"/>
          <w:sz w:val="18"/>
          <w:szCs w:val="18"/>
          <w:color w:val="auto"/>
        </w:rPr>
        <w:t>Eric D. Roiter</w:t>
      </w:r>
    </w:p>
    <w:p>
      <w:pPr>
        <w:spacing w:after="0"/>
        <w:rPr>
          <w:sz w:val="20"/>
          <w:szCs w:val="20"/>
          <w:color w:val="auto"/>
        </w:rPr>
      </w:pPr>
      <w:r>
        <w:rPr>
          <w:rFonts w:ascii="Courier New" w:cs="Courier New" w:eastAsia="Courier New" w:hAnsi="Courier New"/>
          <w:sz w:val="18"/>
          <w:szCs w:val="18"/>
          <w:color w:val="auto"/>
        </w:rPr>
        <w:t>Duly authorized under of Power</w:t>
      </w:r>
    </w:p>
    <w:p>
      <w:pPr>
        <w:spacing w:after="0" w:line="237" w:lineRule="auto"/>
        <w:rPr>
          <w:sz w:val="20"/>
          <w:szCs w:val="20"/>
          <w:color w:val="auto"/>
        </w:rPr>
      </w:pPr>
      <w:r>
        <w:rPr>
          <w:rFonts w:ascii="Courier New" w:cs="Courier New" w:eastAsia="Courier New" w:hAnsi="Courier New"/>
          <w:sz w:val="18"/>
          <w:szCs w:val="18"/>
          <w:color w:val="auto"/>
        </w:rPr>
        <w:t>of Attorney</w:t>
      </w:r>
    </w:p>
    <w:p>
      <w:pPr>
        <w:spacing w:after="0" w:line="238" w:lineRule="auto"/>
        <w:rPr>
          <w:sz w:val="20"/>
          <w:szCs w:val="20"/>
          <w:color w:val="auto"/>
        </w:rPr>
      </w:pPr>
      <w:r>
        <w:rPr>
          <w:rFonts w:ascii="Courier New" w:cs="Courier New" w:eastAsia="Courier New" w:hAnsi="Courier New"/>
          <w:sz w:val="18"/>
          <w:szCs w:val="18"/>
          <w:color w:val="auto"/>
        </w:rPr>
        <w:t>dated December 30, 1997, by</w:t>
      </w:r>
    </w:p>
    <w:p>
      <w:pPr>
        <w:spacing w:after="0"/>
        <w:rPr>
          <w:sz w:val="20"/>
          <w:szCs w:val="20"/>
          <w:color w:val="auto"/>
        </w:rPr>
      </w:pPr>
      <w:r>
        <w:rPr>
          <w:rFonts w:ascii="Courier New" w:cs="Courier New" w:eastAsia="Courier New" w:hAnsi="Courier New"/>
          <w:sz w:val="18"/>
          <w:szCs w:val="18"/>
          <w:color w:val="auto"/>
        </w:rPr>
        <w:t>and on behalf</w:t>
      </w:r>
    </w:p>
    <w:p>
      <w:pPr>
        <w:spacing w:after="0" w:line="237" w:lineRule="auto"/>
        <w:rPr>
          <w:sz w:val="20"/>
          <w:szCs w:val="20"/>
          <w:color w:val="auto"/>
        </w:rPr>
      </w:pPr>
      <w:r>
        <w:rPr>
          <w:rFonts w:ascii="Courier New" w:cs="Courier New" w:eastAsia="Courier New" w:hAnsi="Courier New"/>
          <w:sz w:val="18"/>
          <w:szCs w:val="18"/>
          <w:color w:val="auto"/>
        </w:rPr>
        <w:t>of FMR Corp. and its direct</w:t>
      </w:r>
    </w:p>
    <w:p>
      <w:pPr>
        <w:spacing w:after="0"/>
        <w:rPr>
          <w:sz w:val="20"/>
          <w:szCs w:val="20"/>
          <w:color w:val="auto"/>
        </w:rPr>
      </w:pPr>
      <w:r>
        <w:rPr>
          <w:rFonts w:ascii="Courier New" w:cs="Courier New" w:eastAsia="Courier New" w:hAnsi="Courier New"/>
          <w:sz w:val="18"/>
          <w:szCs w:val="18"/>
          <w:color w:val="auto"/>
        </w:rPr>
        <w:t>and indirect subsidiaries</w:t>
      </w:r>
    </w:p>
    <w:p>
      <w:pPr>
        <w:ind w:left="860"/>
        <w:spacing w:after="0" w:line="237" w:lineRule="auto"/>
        <w:rPr>
          <w:sz w:val="20"/>
          <w:szCs w:val="20"/>
          <w:color w:val="auto"/>
        </w:rPr>
      </w:pPr>
      <w:r>
        <w:rPr>
          <w:rFonts w:ascii="Courier New" w:cs="Courier New" w:eastAsia="Courier New" w:hAnsi="Courier New"/>
          <w:sz w:val="18"/>
          <w:szCs w:val="18"/>
          <w:color w:val="auto"/>
        </w:rPr>
        <w:t>Edward C. Johnson 3d</w:t>
      </w: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spacing w:after="0" w:line="237" w:lineRule="auto"/>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Attorney</w:t>
      </w:r>
    </w:p>
    <w:p>
      <w:pPr>
        <w:spacing w:after="0" w:line="238" w:lineRule="auto"/>
        <w:rPr>
          <w:sz w:val="20"/>
          <w:szCs w:val="20"/>
          <w:color w:val="auto"/>
        </w:rPr>
      </w:pPr>
      <w:r>
        <w:rPr>
          <w:rFonts w:ascii="Courier New" w:cs="Courier New" w:eastAsia="Courier New" w:hAnsi="Courier New"/>
          <w:sz w:val="18"/>
          <w:szCs w:val="18"/>
          <w:color w:val="auto"/>
        </w:rPr>
        <w:t>dated December 30, 1997, by</w:t>
      </w:r>
    </w:p>
    <w:p>
      <w:pPr>
        <w:spacing w:after="0"/>
        <w:rPr>
          <w:sz w:val="20"/>
          <w:szCs w:val="20"/>
          <w:color w:val="auto"/>
        </w:rPr>
      </w:pPr>
      <w:r>
        <w:rPr>
          <w:rFonts w:ascii="Courier New" w:cs="Courier New" w:eastAsia="Courier New" w:hAnsi="Courier New"/>
          <w:sz w:val="18"/>
          <w:szCs w:val="18"/>
          <w:color w:val="auto"/>
        </w:rPr>
        <w:t>and on behalf</w:t>
      </w:r>
    </w:p>
    <w:p>
      <w:pPr>
        <w:spacing w:after="0" w:line="237" w:lineRule="auto"/>
        <w:rPr>
          <w:sz w:val="20"/>
          <w:szCs w:val="20"/>
          <w:color w:val="auto"/>
        </w:rPr>
      </w:pPr>
      <w:r>
        <w:rPr>
          <w:rFonts w:ascii="Courier New" w:cs="Courier New" w:eastAsia="Courier New" w:hAnsi="Courier New"/>
          <w:sz w:val="18"/>
          <w:szCs w:val="18"/>
          <w:color w:val="auto"/>
        </w:rPr>
        <w:t>of Edward C. Johnson 3d</w:t>
      </w:r>
    </w:p>
    <w:p>
      <w:pPr>
        <w:ind w:left="860"/>
        <w:spacing w:after="0" w:line="238" w:lineRule="auto"/>
        <w:rPr>
          <w:sz w:val="20"/>
          <w:szCs w:val="20"/>
          <w:color w:val="auto"/>
        </w:rPr>
      </w:pPr>
      <w:r>
        <w:rPr>
          <w:rFonts w:ascii="Courier New" w:cs="Courier New" w:eastAsia="Courier New" w:hAnsi="Courier New"/>
          <w:sz w:val="18"/>
          <w:szCs w:val="18"/>
          <w:color w:val="auto"/>
        </w:rPr>
        <w:t>Abigail P. Johnson</w:t>
      </w: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spacing w:after="0" w:line="237" w:lineRule="auto"/>
        <w:rPr>
          <w:sz w:val="20"/>
          <w:szCs w:val="20"/>
          <w:color w:val="auto"/>
        </w:rPr>
      </w:pPr>
      <w:r>
        <w:rPr>
          <w:rFonts w:ascii="Courier New" w:cs="Courier New" w:eastAsia="Courier New" w:hAnsi="Courier New"/>
          <w:sz w:val="18"/>
          <w:szCs w:val="18"/>
          <w:color w:val="auto"/>
        </w:rPr>
        <w:t>Eric D. Roiter</w:t>
      </w:r>
    </w:p>
    <w:p>
      <w:pPr>
        <w:spacing w:after="0"/>
        <w:rPr>
          <w:sz w:val="20"/>
          <w:szCs w:val="20"/>
          <w:color w:val="auto"/>
        </w:rPr>
      </w:pPr>
      <w:r>
        <w:rPr>
          <w:rFonts w:ascii="Courier New" w:cs="Courier New" w:eastAsia="Courier New" w:hAnsi="Courier New"/>
          <w:sz w:val="18"/>
          <w:szCs w:val="18"/>
          <w:color w:val="auto"/>
        </w:rPr>
        <w:t>Duly authorized under Power of</w:t>
      </w:r>
    </w:p>
    <w:p>
      <w:pPr>
        <w:spacing w:after="0" w:line="237" w:lineRule="auto"/>
        <w:rPr>
          <w:sz w:val="20"/>
          <w:szCs w:val="20"/>
          <w:color w:val="auto"/>
        </w:rPr>
      </w:pPr>
      <w:r>
        <w:rPr>
          <w:rFonts w:ascii="Courier New" w:cs="Courier New" w:eastAsia="Courier New" w:hAnsi="Courier New"/>
          <w:sz w:val="18"/>
          <w:szCs w:val="18"/>
          <w:color w:val="auto"/>
        </w:rPr>
        <w:t>Attorney</w:t>
      </w:r>
    </w:p>
    <w:p>
      <w:pPr>
        <w:spacing w:after="0"/>
        <w:rPr>
          <w:sz w:val="20"/>
          <w:szCs w:val="20"/>
          <w:color w:val="auto"/>
        </w:rPr>
      </w:pPr>
      <w:r>
        <w:rPr>
          <w:rFonts w:ascii="Courier New" w:cs="Courier New" w:eastAsia="Courier New" w:hAnsi="Courier New"/>
          <w:sz w:val="18"/>
          <w:szCs w:val="18"/>
          <w:color w:val="auto"/>
        </w:rPr>
        <w:t>dated December 30, 1997, by</w:t>
      </w:r>
    </w:p>
    <w:p>
      <w:pPr>
        <w:spacing w:after="0" w:line="237" w:lineRule="auto"/>
        <w:rPr>
          <w:sz w:val="20"/>
          <w:szCs w:val="20"/>
          <w:color w:val="auto"/>
        </w:rPr>
      </w:pPr>
      <w:r>
        <w:rPr>
          <w:rFonts w:ascii="Courier New" w:cs="Courier New" w:eastAsia="Courier New" w:hAnsi="Courier New"/>
          <w:sz w:val="18"/>
          <w:szCs w:val="18"/>
          <w:color w:val="auto"/>
        </w:rPr>
        <w:t>and on behalf</w:t>
      </w:r>
    </w:p>
    <w:p>
      <w:pPr>
        <w:spacing w:after="0" w:line="238" w:lineRule="auto"/>
        <w:rPr>
          <w:sz w:val="20"/>
          <w:szCs w:val="20"/>
          <w:color w:val="auto"/>
        </w:rPr>
      </w:pPr>
      <w:r>
        <w:rPr>
          <w:rFonts w:ascii="Courier New" w:cs="Courier New" w:eastAsia="Courier New" w:hAnsi="Courier New"/>
          <w:sz w:val="18"/>
          <w:szCs w:val="18"/>
          <w:color w:val="auto"/>
        </w:rPr>
        <w:t>of Abigail P. Johnson</w:t>
      </w:r>
    </w:p>
    <w:p>
      <w:pPr>
        <w:spacing w:after="0" w:line="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Fidelity Management &amp; Research Company</w:t>
      </w:r>
    </w:p>
    <w:p>
      <w:pPr>
        <w:spacing w:after="0" w:line="16"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Eric D. Roiter</w:t>
      </w:r>
    </w:p>
    <w:p>
      <w:pPr>
        <w:spacing w:after="0"/>
        <w:rPr>
          <w:sz w:val="20"/>
          <w:szCs w:val="20"/>
          <w:color w:val="auto"/>
        </w:rPr>
      </w:pPr>
      <w:r>
        <w:rPr>
          <w:rFonts w:ascii="Courier New" w:cs="Courier New" w:eastAsia="Courier New" w:hAnsi="Courier New"/>
          <w:sz w:val="18"/>
          <w:szCs w:val="18"/>
          <w:color w:val="auto"/>
        </w:rPr>
        <w:t>V.P. and General Counsel</w:t>
      </w:r>
    </w:p>
    <w:p>
      <w:pPr>
        <w:ind w:left="860"/>
        <w:spacing w:after="0" w:line="237" w:lineRule="auto"/>
        <w:rPr>
          <w:sz w:val="20"/>
          <w:szCs w:val="20"/>
          <w:color w:val="auto"/>
        </w:rPr>
      </w:pPr>
      <w:r>
        <w:rPr>
          <w:rFonts w:ascii="Courier New" w:cs="Courier New" w:eastAsia="Courier New" w:hAnsi="Courier New"/>
          <w:sz w:val="18"/>
          <w:szCs w:val="18"/>
          <w:color w:val="auto"/>
        </w:rPr>
        <w:t>Fidelity Magellan Fund</w:t>
      </w:r>
    </w:p>
    <w:p>
      <w:pPr>
        <w:ind w:left="860"/>
        <w:spacing w:after="0" w:line="238" w:lineRule="auto"/>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spacing w:after="0"/>
        <w:rPr>
          <w:sz w:val="20"/>
          <w:szCs w:val="20"/>
          <w:color w:val="auto"/>
        </w:rPr>
      </w:pPr>
      <w:r>
        <w:rPr>
          <w:rFonts w:ascii="Courier New" w:cs="Courier New" w:eastAsia="Courier New" w:hAnsi="Courier New"/>
          <w:sz w:val="18"/>
          <w:szCs w:val="18"/>
          <w:color w:val="auto"/>
        </w:rPr>
        <w:t>Eric D. Roiter</w:t>
      </w:r>
    </w:p>
    <w:p>
      <w:pPr>
        <w:spacing w:after="0" w:line="237" w:lineRule="auto"/>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2019-12-12T07:57:48Z</dcterms:created>
  <dcterms:modified xsi:type="dcterms:W3CDTF">2019-12-12T07:57:48Z</dcterms:modified>
</cp:coreProperties>
</file>