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w:t>
      </w:r>
    </w:p>
    <w:p>
      <w:pPr>
        <w:spacing w:after="0" w:line="76" w:lineRule="exact"/>
        <w:rPr>
          <w:sz w:val="24"/>
          <w:szCs w:val="24"/>
          <w:color w:val="auto"/>
        </w:rPr>
      </w:pPr>
    </w:p>
    <w:p>
      <w:pPr>
        <w:ind w:left="1400" w:hanging="375"/>
        <w:spacing w:after="0"/>
        <w:tabs>
          <w:tab w:leader="none" w:pos="1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w:t>
      </w:r>
      <w:r>
        <w:rPr>
          <w:rFonts w:ascii="Times New Roman" w:cs="Times New Roman" w:eastAsia="Times New Roman" w:hAnsi="Times New Roman"/>
          <w:sz w:val="35"/>
          <w:szCs w:val="35"/>
          <w:b w:val="1"/>
          <w:bCs w:val="1"/>
          <w:color w:val="auto"/>
          <w:vertAlign w:val="subscript"/>
        </w:rPr>
        <w:t>1934</w:t>
      </w:r>
      <w:r>
        <w:rPr>
          <w:rFonts w:ascii="Times New Roman" w:cs="Times New Roman" w:eastAsia="Times New Roman" w:hAnsi="Times New Roman"/>
          <w:sz w:val="18"/>
          <w:szCs w:val="18"/>
          <w:b w:val="1"/>
          <w:bCs w:val="1"/>
          <w:color w:val="auto"/>
        </w:rPr>
        <w:t xml:space="preserve"> REPORT PURSUANT TO SECTION 13 OR 15(d) OF THE SECURITIES EXCHANGE ACT OF</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7" w:lineRule="exact"/>
        <w:rPr>
          <w:sz w:val="24"/>
          <w:szCs w:val="24"/>
          <w:color w:val="auto"/>
        </w:rPr>
      </w:pPr>
    </w:p>
    <w:p>
      <w:pPr>
        <w:ind w:left="1400" w:hanging="375"/>
        <w:spacing w:after="0"/>
        <w:tabs>
          <w:tab w:leader="none" w:pos="1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35"/>
          <w:szCs w:val="35"/>
          <w:b w:val="1"/>
          <w:bCs w:val="1"/>
          <w:color w:val="auto"/>
          <w:vertAlign w:val="subscript"/>
        </w:rPr>
        <w:t>1934</w:t>
      </w:r>
      <w:r>
        <w:rPr>
          <w:rFonts w:ascii="Times New Roman" w:cs="Times New Roman" w:eastAsia="Times New Roman" w:hAnsi="Times New Roman"/>
          <w:sz w:val="18"/>
          <w:szCs w:val="18"/>
          <w:b w:val="1"/>
          <w:bCs w:val="1"/>
          <w:color w:val="auto"/>
        </w:rPr>
        <w:t xml:space="preserve"> REPORT PURSUANT TO SECTION 13 OR 15(d) OF THE SECURITIES EXCHANGE ACT OF</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1-475</w:t>
      </w:r>
    </w:p>
    <w:p>
      <w:pPr>
        <w:spacing w:after="0" w:line="5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 O. Smith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11270 West Park Place, Milwaukee, Wisconsin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39-0619790</w:t>
      </w:r>
    </w:p>
    <w:p>
      <w:pPr>
        <w:spacing w:after="0" w:line="1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53224-9508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(414) 359-4000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0"/>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$1.00 per share)</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AOS</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3" w:lineRule="exact"/>
        <w:rPr>
          <w:sz w:val="24"/>
          <w:szCs w:val="24"/>
          <w:color w:val="auto"/>
        </w:rPr>
      </w:pPr>
    </w:p>
    <w:p>
      <w:pPr>
        <w:ind w:right="120"/>
        <w:spacing w:after="0" w:line="23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26" w:lineRule="exact"/>
        <w:rPr>
          <w:sz w:val="24"/>
          <w:szCs w:val="24"/>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color w:val="auto"/>
        </w:rPr>
        <w:t>Class A Common Stock Outstanding as of October 27, 2026 - 25,860,239 shares</w:t>
      </w:r>
    </w:p>
    <w:p>
      <w:pPr>
        <w:spacing w:after="0" w:line="18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7"/>
          <w:szCs w:val="17"/>
          <w:color w:val="auto"/>
        </w:rPr>
        <w:t>Common Stock Outstanding as of October 27, 2026 - 108,468,717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260" w:type="dxa"/>
            <w:vAlign w:val="bottom"/>
            <w:gridSpan w:val="10"/>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7"/>
            <w:vMerge w:val="continue"/>
          </w:tcPr>
          <w:p>
            <w:pPr>
              <w:spacing w:after="0"/>
              <w:rPr>
                <w:sz w:val="14"/>
                <w:szCs w:val="14"/>
                <w:color w:val="auto"/>
              </w:rPr>
            </w:pPr>
          </w:p>
        </w:tc>
        <w:tc>
          <w:tcPr>
            <w:tcW w:w="726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Earnings - Three and Nine Months Ended September 30, 2026 and 2025</w:t>
            </w:r>
          </w:p>
        </w:tc>
        <w:tc>
          <w:tcPr>
            <w:tcW w:w="14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 Three and Nine Months Ended September 30, 2026 and 2025</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September 30, 2026 and December 31, 2025</w:t>
            </w:r>
          </w:p>
        </w:tc>
        <w:tc>
          <w:tcPr>
            <w:tcW w:w="322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Nine Months Ended September 30, 2026 and 2025</w:t>
            </w:r>
          </w:p>
        </w:tc>
        <w:tc>
          <w:tcPr>
            <w:tcW w:w="2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 Three and Nine Months Ended September 30, 2026 and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 September 30, 2026</w:t>
            </w:r>
          </w:p>
        </w:tc>
        <w:tc>
          <w:tcPr>
            <w:tcW w:w="3360" w:type="dxa"/>
            <w:vAlign w:val="bottom"/>
            <w:tcBorders>
              <w:top w:val="single" w:sz="8" w:color="0000FF"/>
            </w:tcBorders>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4"/>
          </w:tcPr>
          <w:p>
            <w:pPr>
              <w:spacing w:after="0"/>
              <w:rPr>
                <w:sz w:val="24"/>
                <w:szCs w:val="24"/>
                <w:color w:val="auto"/>
              </w:rPr>
            </w:pPr>
          </w:p>
        </w:tc>
        <w:tc>
          <w:tcPr>
            <w:tcW w:w="306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4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64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0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92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10"/>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O. SMITH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575.8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578.0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364.7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189.5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166.7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126.3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820" w:type="dxa"/>
            <w:vAlign w:val="bottom"/>
            <w:tcBorders>
              <w:bottom w:val="single" w:sz="8" w:color="auto"/>
            </w:tcBorders>
          </w:tcPr>
          <w:p>
            <w:pPr>
              <w:jc w:val="right"/>
              <w:ind w:right="6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O. SMITH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2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6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8"/>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r>
      <w:tr>
        <w:trPr>
          <w:trHeight w:val="227"/>
        </w:trPr>
        <w:tc>
          <w:tcPr>
            <w:tcW w:w="56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126.3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175"/>
        </w:trPr>
        <w:tc>
          <w:tcPr>
            <w:tcW w:w="56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net gains (losses) on cash flow derivative instruments, less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related income tax (provision) benefit of $0.0 and $(0.5) in 2026,</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5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$(0.5) and $(0.7) in 2025</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75"/>
        </w:trPr>
        <w:tc>
          <w:tcPr>
            <w:tcW w:w="56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 to pension liability, less related income tax provision of $0.0</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$(0.1) in 2026 and $0.0 and $0.1 in 2025</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126.1</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127.6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0"/>
        </w:trPr>
        <w:tc>
          <w:tcPr>
            <w:tcW w:w="5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 O. SMITH CORPORATION</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(dollars in millions, except for shares)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4"/>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 warranties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due within one year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 warranties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(shares issued, 25,991,271 and 25,993,539 as of September 30, 2026 and December</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 2025, respectively)</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176"/>
        </w:trPr>
        <w:tc>
          <w:tcPr>
            <w:tcW w:w="82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(shares issued 164,716,323 and 164,714,053 as of September 30, 2026 and December 31,</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2025, respectively)</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 O. SMITH CORPORATION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(dollars 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9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12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r>
      <w:tr>
        <w:trPr>
          <w:trHeight w:val="227"/>
        </w:trPr>
        <w:tc>
          <w:tcPr>
            <w:tcW w:w="128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82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2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Current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826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8"/>
                <w:szCs w:val="18"/>
                <w:color w:val="auto"/>
              </w:rPr>
              <w:t>Noncurrent assets and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proceeds from sale of marketable securities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payments from stock option activity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0"/>
        </w:trPr>
        <w:tc>
          <w:tcPr>
            <w:tcW w:w="12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3060" w:type="dxa"/>
            <w:vAlign w:val="bottom"/>
          </w:tcPr>
          <w:p>
            <w:pPr>
              <w:spacing w:after="0"/>
              <w:rPr>
                <w:sz w:val="24"/>
                <w:szCs w:val="24"/>
                <w:color w:val="auto"/>
              </w:rPr>
            </w:pPr>
          </w:p>
        </w:tc>
        <w:tc>
          <w:tcPr>
            <w:tcW w:w="29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A. O. SMITH CORPORATION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9"/>
          </w:tcPr>
          <w:p>
            <w:pPr>
              <w:jc w:val="center"/>
              <w:ind w:left="970"/>
              <w:spacing w:after="0"/>
              <w:rPr>
                <w:sz w:val="20"/>
                <w:szCs w:val="20"/>
                <w:color w:val="auto"/>
              </w:rPr>
            </w:pPr>
            <w:r>
              <w:rPr>
                <w:rFonts w:ascii="Times New Roman" w:cs="Times New Roman" w:eastAsia="Times New Roman" w:hAnsi="Times New Roman"/>
                <w:sz w:val="18"/>
                <w:szCs w:val="18"/>
                <w:color w:val="auto"/>
                <w:w w:val="99"/>
              </w:rPr>
              <w:t>CONDENSED CONSOLIDATED STATEMENTS OF STOCKHOLDERS’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(dollars 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24"/>
                <w:szCs w:val="24"/>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128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4"/>
              </w:rPr>
              <w:t>2026</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 units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share units</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Exercises of stock options</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share-based compensation</w:t>
            </w: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stock</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3,876.7</w:t>
            </w: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(see Note 15)</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incentives and directors' compensation</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of share units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w:t>
            </w: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5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w:t>
            </w: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(SEC). Accordingly, they do not include all of the information and footnotes required for complete financial statements. In the opinion of management, all adjustments (consisting of normal recurring accruals) considered necessary for a fair presentation have been included. Operating results for the three and nine months ended September 30, 2026 are not necessarily indicative of the results expected for the full year. It is suggested the accompanying condensed consolidated financial statements be read in conjunction with the audited consolidated financial statements and the notes thereto included in the Company’s Annual Report on Form 10-K for the year ended December 31, 2025 filed with the SEC on February 10,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which modernizes the accounting guidance for internal-use software costs by eliminating the requirement to assess software development stages and introduces a new capitalization threshold. ASU 2025-06 is effective for fiscal years beginning after December 15, 2027, with early adoption permitted. The Company is currently in the process of reviewing the guidance and evaluating the impact of adopting this ASU on its financial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Disaggregation of Income Statement Expenses. The ASU requires additional disclosures by disaggregating the costs and expense line items that are presented on the face of the income statement. This ASU requires a public company to apply the amendments either prospectively to financial statements issued for reporting periods after the effective date of this ASU or retrospectively to any or all prior periods presented in the financial statements. The ASU is effective for the Company beginning with its 2027 annual disclosures and subsequent interim periods. Early adoption is permitted. The Company is currently evaluating the impact of adopting this ASU on its disclosures.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amended Accounting Standards Codification (ASC) 740 (issued under ASU 2023-09, Improvements to Income Tax Disclosures). This ASU requires added disclosures related to the tax rate reconciliation and income taxes paid and includes other amendments intended to improve effectiveness and comparability. The update was effective for the Company beginning with its 2025 annual disclosures and interim periods beginning in 2026. The adoption of ASU 2023-09 did not affect the Company’s financial position or its results of operations. Refer to Note 13, Income Taxes, for additional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sales are from contracts with customers for the purchase of its products. Contracts and customer 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Each unit sold is considered an independent, unbundled performance obligation. The Company’s sales arrangements do not include other performance obligations that are material in the context of the contract.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nature, timing and amount of revenue for a respective performance obligation are consistent for each customer. The Company measures the sales transaction price based upon the payment terms associated with the transaction and whether the sales price is subject to refund or adjustment. Sales and value added taxes are excluded from the measurement of the transaction price. The Company’s payment terms for the majority of its customers are 30 to 90 days from shipment. Additionally, certain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 (continued)</w:t>
      </w:r>
    </w:p>
    <w:p>
      <w:pPr>
        <w:spacing w:after="0" w:line="200" w:lineRule="exact"/>
        <w:rPr>
          <w:sz w:val="20"/>
          <w:szCs w:val="20"/>
          <w:color w:val="auto"/>
        </w:rPr>
      </w:pP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in China pay the Company prior to the shipment of products resulting in a customer deposits liability of $18.6 million and $34.2 million at September 30, 2026 and December 31, 2025, respectively. Customer deposit liabilities are short term in nature, recognized into revenue within one year of receipt.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collectability of customer receivables based on the creditworthiness of a customer as determined by credit checks and analysis, as well as the customer’s payment history. In determining the allowance for credit losses, the Company also considers various factors including the aging of customer accounts and historical write-offs. In addition, the Company monitors other risk factors including forward-looking information when establishing adequate allowances for credit losses, which reflects the current estimate of credit losses expected to be incurred over the life of the receivables. The Company’s allowance for credit losses was $15.8 million and $14.1 million at September 30, 2026 and December 31, 2025, respectively.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Rebates and incentives are based on pricing agreements and are tied to sales volume. The amount of revenue is reduced for variable consideration related to customer rebates which are calculated using expected values and are based on program specific factors such as expected rebate percentages based on expected volumes. In situations where the customer has the right to return eligible products, the Company reduces revenue for its estimates of expected product returns, which are primarily based on an analysis of historical experience. Changes in such accruals may be required if actual sales volume differs from estimated sales volume or if future returns differ from historical experience. Shipping and handling costs billed to customers are included in net sales and the related costs are included in cost of products sold and are activities performed to fulfill the promise to transfer products.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Net Sales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comprised of two reporting segments: North America and Rest of World. The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regions of the world, and as a result, the Company has determined that geography is the primary factor in reporting its sales. The Company further disaggregates its North America segment sales by major product line as each of North America’s major product lines is sold through distinct distribution channels and these product lines may be impacted differently by certain economic factors. Within the Rest of World segment, particularly in China and India, the Company’s major customers purchase across the Company’s product lines, utilizing the same distribution channels regardless of product type. In addition, the impact of economic factors is unlikely to be differentiated by product line in the Rest of World segment.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North America segment's major product lines are defined as the following:</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heaters </w:t>
      </w:r>
      <w:r>
        <w:rPr>
          <w:rFonts w:ascii="Times New Roman" w:cs="Times New Roman" w:eastAsia="Times New Roman" w:hAnsi="Times New Roman"/>
          <w:sz w:val="18"/>
          <w:szCs w:val="18"/>
          <w:color w:val="auto"/>
        </w:rPr>
        <w:t>The Company’s water heaters are open water heating systems that heat potable water. Typical applications for water heaters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residences, restaurants, hotels, office buildings, laundries, car washes and small businesses. The Company sells residential and commercial water heater products and related parts through its wholesale distribution channel, which includes approximately 800 independent wholesale plumbing distributors. The Company also sells residential water heaters and related parts through retail and maintenance, repair and operations (MRO) channels. A significant portion of the Company’s water heater sales in the North America segment is derived from the replacement of existing products.</w:t>
      </w:r>
    </w:p>
    <w:p>
      <w:pPr>
        <w:spacing w:after="0" w:line="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Boilers and Components </w:t>
      </w:r>
      <w:r>
        <w:rPr>
          <w:rFonts w:ascii="Times New Roman" w:cs="Times New Roman" w:eastAsia="Times New Roman" w:hAnsi="Times New Roman"/>
          <w:sz w:val="18"/>
          <w:szCs w:val="18"/>
          <w:color w:val="auto"/>
        </w:rPr>
        <w:t>The Company’s boilers are closed loop water heating systems used primarily for space heating or hydronic heating.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boilers are primarily used in applications in commercial settings for hospitals, schools, hotels and other large commercial buildings while residential boilers are used in homes, apartments and condominiums. Additionally, the Company designs and manufactures components related to water temperature control valves and boiler controls. The valves and controls are primarily used for institutional, commercial, and residential applications, including digital monitoring solutions for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education, and light commercial facilities. The Company’s boiler and component distribution channel is comprised primarily of manufacturer representative firms, with the remainder distributed through wholesale channels. The Company’s boiler and component sales in the North America segment are derived from a combination of replacement of existing products and new construction.</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treatment products </w:t>
      </w:r>
      <w:r>
        <w:rPr>
          <w:rFonts w:ascii="Times New Roman" w:cs="Times New Roman" w:eastAsia="Times New Roman" w:hAnsi="Times New Roman"/>
          <w:sz w:val="18"/>
          <w:szCs w:val="18"/>
          <w:color w:val="auto"/>
        </w:rPr>
        <w:t>The Company’s water treatment products range from point-of-entry water softeners, solutions for problem well water, and whole-home water filtration products to on-the-go filtration bottles, point-of-use carbon, and reverse osmosis products. A portion of the Company’s sales is comprised of replacement filters. Typical applications for the Company’s water treatment products include residences, restaurants, hotels and offices. The Company sells water treatment products through its retail and wholesale distribution channels, similar to water heaters. The Company’s water treatment products are also sold through independent water quality dealers as well as directly to consumers including through e-commerce sales channels.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 (continued)</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net sales by segment. As described above, the Company’s North America segment sales are further disaggregated by major product line. The Company’s Rest of World segment sales are disaggregated by China and all other Rest of World: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3"/>
        </w:trPr>
        <w:tc>
          <w:tcPr>
            <w:tcW w:w="20" w:type="dxa"/>
            <w:vAlign w:val="bottom"/>
          </w:tcPr>
          <w:p>
            <w:pPr>
              <w:spacing w:after="0"/>
              <w:rPr>
                <w:sz w:val="17"/>
                <w:szCs w:val="17"/>
                <w:color w:val="auto"/>
              </w:rPr>
            </w:pPr>
          </w:p>
        </w:tc>
        <w:tc>
          <w:tcPr>
            <w:tcW w:w="56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820" w:type="dxa"/>
            <w:vAlign w:val="bottom"/>
          </w:tcPr>
          <w:p>
            <w:pPr>
              <w:spacing w:after="0"/>
              <w:rPr>
                <w:sz w:val="17"/>
                <w:szCs w:val="17"/>
                <w:color w:val="auto"/>
              </w:rPr>
            </w:pPr>
          </w:p>
        </w:tc>
        <w:tc>
          <w:tcPr>
            <w:tcW w:w="14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ind w:left="560"/>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Water heaters and related parts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596.0</w:t>
            </w:r>
          </w:p>
        </w:tc>
        <w:tc>
          <w:tcPr>
            <w:tcW w:w="10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604.9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Boilers, related parts, and components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Water treatment products and related parts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North America</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761.6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w:t>
            </w: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139.8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All other Rest of World</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 of World</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8"/>
        <w:spacing w:after="0" w:line="287" w:lineRule="auto"/>
        <w:tabs>
          <w:tab w:leader="none" w:pos="165"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net sales of $14.8 million and $46.6 million in the three and nine months ended September 30, 2026, respectively, related to the January 6, 2026 acquisition of Leonard Valve.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2026 Acquisition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6, 2026, the Company acquired 100 percent of the shares and related assets of LVC Holdco LLC (Leonard Valve), a leading manufacturer of water temperature and flow solutions. The addition of Leonard Valve is an advancement of the Company's presence in the water management market, and Leonard Valve is included in the Company's North America segment. The transaction was completed for $469.5 million, net of cash acquired and subject to customary adjustments. The all-cash transaction was funded with cash borrowed under a new credit agreement. Upon closing of the acquisition, $2.0 million was placed into escrow, which was included in the total purchase consideration to cover potential working capital adjustments. During the third quarter of 2026, final working capital adjustments were completed and the escrow balance was released, resulting in the Company receiving $0.5 million in cash and reducing the purchase price from $470 million to $469.5 million.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combined purchase price for assets and operations acquired was recorded as intangibles and goodwill with the remaining portion allocated to identifiable assets acquired and liabilities assumed. As of September 30, 2026, the purchase price allocation remains preliminary and subject to final valuation adjustments that will be completed within the one-year period following the acquisition date. The Company incurred acquisition costs of approximately $6.8 million that were recorded in "Selling, general and administrative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 of the assets acquired and liabilities assumed at the date of acquisition.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20" w:type="dxa"/>
            <w:vAlign w:val="bottom"/>
          </w:tcPr>
          <w:p>
            <w:pPr>
              <w:spacing w:after="0"/>
              <w:rPr>
                <w:sz w:val="23"/>
                <w:szCs w:val="2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20" w:type="dxa"/>
            <w:vAlign w:val="bottom"/>
            <w:shd w:val="clear" w:color="auto" w:fill="CCEEFF"/>
          </w:tcPr>
          <w:p>
            <w:pPr>
              <w:spacing w:after="0"/>
              <w:rPr>
                <w:sz w:val="23"/>
                <w:szCs w:val="23"/>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70"/>
        </w:trPr>
        <w:tc>
          <w:tcPr>
            <w:tcW w:w="20" w:type="dxa"/>
            <w:vAlign w:val="bottom"/>
          </w:tcPr>
          <w:p>
            <w:pPr>
              <w:spacing w:after="0"/>
              <w:rPr>
                <w:sz w:val="23"/>
                <w:szCs w:val="2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70"/>
        </w:trPr>
        <w:tc>
          <w:tcPr>
            <w:tcW w:w="20" w:type="dxa"/>
            <w:vAlign w:val="bottom"/>
            <w:shd w:val="clear" w:color="auto" w:fill="CCEEFF"/>
          </w:tcPr>
          <w:p>
            <w:pPr>
              <w:spacing w:after="0"/>
              <w:rPr>
                <w:sz w:val="23"/>
                <w:szCs w:val="23"/>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20" w:type="dxa"/>
            <w:vAlign w:val="bottom"/>
          </w:tcPr>
          <w:p>
            <w:pPr>
              <w:spacing w:after="0"/>
              <w:rPr>
                <w:sz w:val="21"/>
                <w:szCs w:val="21"/>
                <w:color w:val="auto"/>
              </w:rPr>
            </w:pP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70"/>
        </w:trPr>
        <w:tc>
          <w:tcPr>
            <w:tcW w:w="20" w:type="dxa"/>
            <w:vAlign w:val="bottom"/>
            <w:shd w:val="clear" w:color="auto" w:fill="CCEEFF"/>
          </w:tcPr>
          <w:p>
            <w:pPr>
              <w:spacing w:after="0"/>
              <w:rPr>
                <w:sz w:val="23"/>
                <w:szCs w:val="23"/>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20" w:type="dxa"/>
            <w:vAlign w:val="bottom"/>
            <w:tcBorders>
              <w:bottom w:val="single" w:sz="8" w:color="CCEEFF"/>
            </w:tcBorders>
          </w:tcPr>
          <w:p>
            <w:pPr>
              <w:spacing w:after="0"/>
              <w:rPr>
                <w:sz w:val="23"/>
                <w:szCs w:val="23"/>
                <w:color w:val="auto"/>
              </w:rPr>
            </w:pPr>
          </w:p>
        </w:tc>
        <w:tc>
          <w:tcPr>
            <w:tcW w:w="9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2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$247.8 million of acquired identifiable intangible assets, $39.6 million was assigned to trademarks that are not subject to amortization, $5.9 million was assigned to patents which are amortized over 10 years, and the remaining $202.3 million was assigned to customer relationships which are amortized over 19 and 20 years. The excess of the acquisition purchase price over the fair value assigned to the assets acquired and liabilities assumed was recorded as goodwill. The allocation of the purchase price to goodwill decreased by $0.4 million in the third quarter of 2026 due to valuation adjustments related to property, plant, and equipment as well as the final working capital adjustment.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Revenues and pre-tax earnings associated with Leonard Valve included in the condensed consolidated statement of earnings for the nine months ended September 30, 2026 totaled $46.6 million and $15.2 million, respectively. As required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results of operations have been included in the Company’s condensed consolidated financial statements from the date of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and Impairment Expenses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2026, the Company approved and announced a restructuring plan in its water treatment business within the North America segment for approximately $20 million, net of anticipated proceeds from the sale of certain assets. The plan is designed to increase operational efficiency and accelerate growth through footprint optimization as well as brand rationalization. The Company recognized $22.6 million of restructuring and impairment expenses during the quarter ended June 30, 2026. These expenses were comprised of $2.8 million in severance costs, asset impairments of $12.4 million, and $7.4 million of other restructuring expenses. These expenses had a corresponding tax benefit of $5.5 million. No additional expenses were recognized during the quarter ended September 30, 2026.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Severance</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Restructuring</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8"/>
                <w:szCs w:val="18"/>
                <w:color w:val="auto"/>
                <w:w w:val="99"/>
              </w:rPr>
              <w:t>Expenses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7"/>
              </w:rPr>
              <w:t>Expenses</w:t>
            </w:r>
          </w:p>
        </w:tc>
        <w:tc>
          <w:tcPr>
            <w:tcW w:w="160" w:type="dxa"/>
            <w:vAlign w:val="bottom"/>
          </w:tcPr>
          <w:p>
            <w:pPr>
              <w:spacing w:after="0"/>
              <w:rPr>
                <w:sz w:val="17"/>
                <w:szCs w:val="17"/>
                <w:color w:val="auto"/>
              </w:rPr>
            </w:pPr>
          </w:p>
        </w:tc>
        <w:tc>
          <w:tcPr>
            <w:tcW w:w="12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Impairments</w:t>
            </w:r>
          </w:p>
        </w:tc>
        <w:tc>
          <w:tcPr>
            <w:tcW w:w="280" w:type="dxa"/>
            <w:vAlign w:val="bottom"/>
          </w:tcPr>
          <w:p>
            <w:pPr>
              <w:spacing w:after="0"/>
              <w:rPr>
                <w:sz w:val="17"/>
                <w:szCs w:val="17"/>
                <w:color w:val="auto"/>
              </w:rPr>
            </w:pPr>
          </w:p>
        </w:tc>
        <w:tc>
          <w:tcPr>
            <w:tcW w:w="102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Accrued severance and restructuring expenses, March 31, 2026</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Charges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Non-cash impairments and other adjustments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severance and restructuring expenses, June 30, 2026</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Charges</w:t>
            </w: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Non-cash impairments and other adjustments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severance and restructuring expenses, September 30,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$0.5 million of accrual recorded as of March 31, 2026 relates to a previously announced restructuring plan.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inventory balances: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(dollars in millions)</w:t>
            </w: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90"/>
              <w:spacing w:after="0" w:line="194"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5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FIFO cost</w:t>
            </w: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4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LIFO cost</w:t>
            </w:r>
          </w:p>
        </w:tc>
        <w:tc>
          <w:tcPr>
            <w:tcW w:w="4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6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Product Warranties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offers warranties on certain of its products with terms that are consistent with the market and records an accrual for the estimated future claims. The following table presents the Company’s warranty liability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5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980" w:type="dxa"/>
            <w:vAlign w:val="bottom"/>
          </w:tcPr>
          <w:p>
            <w:pPr>
              <w:spacing w:after="0"/>
              <w:rPr>
                <w:sz w:val="17"/>
                <w:szCs w:val="17"/>
                <w:color w:val="auto"/>
              </w:rPr>
            </w:pPr>
          </w:p>
        </w:tc>
        <w:tc>
          <w:tcPr>
            <w:tcW w:w="16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29"/>
        </w:trPr>
        <w:tc>
          <w:tcPr>
            <w:tcW w:w="2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Claims settled</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5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5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980" w:type="dxa"/>
            <w:vAlign w:val="bottom"/>
          </w:tcPr>
          <w:p>
            <w:pPr>
              <w:spacing w:after="0"/>
              <w:rPr>
                <w:sz w:val="17"/>
                <w:szCs w:val="17"/>
                <w:color w:val="auto"/>
              </w:rPr>
            </w:pPr>
          </w:p>
        </w:tc>
        <w:tc>
          <w:tcPr>
            <w:tcW w:w="16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9"/>
        </w:trPr>
        <w:tc>
          <w:tcPr>
            <w:tcW w:w="2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Acquired obligations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Claims settled</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renewed and amended its $500 million multi-year, multi-currency revolving credit agreement with a new expiration date of August 23, 2029. The facility has an accordion provision that allows it to be increased up to $1 billion if certain conditions (including lender approval) are satisfied. Borrowings under the Company's bank credit lines and commercial paper borrowings are supported by a $500 million revolving credit agreement. As a result of the long-term nature of this facility, the Company’s commercial paper and credit line borrowings are classified as long-term debt at September 30, 2026. At its option, the Company either maintains cash balances or pays fees for bank credit and services. The facility requires the Company to maintain two financial covenants, a leverage ratio test and an interest coverage test. The Company was in compliance with the covenants as of September 30, 2026.</w:t>
      </w: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5, 2026, the Company entered into an agreement for a new three-year, $470 million term loan with a group of eight banks. The Company borrowed the full available amount on January 5, 2026, and used the proceeds to finance the purchase of Leonard Valve. The term loan matures in January 2029, and the terms of the agreement outline a balloon payment at maturity. The interest rate on the loan is variable based on the SOFR (secured overnight financing rate) plus 0.88 percent. For the three and nine month periods ending September 30, 2026, the interest rate was 4.56 percent and 4.54 percent, respectively.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2026, the Company entered into two loan agreements in China for 400 million RMB ($59.6 million at September 30, 2026) and 100 million RMB ($14.9 million at September 30, 2026), respectively. The loans mature in June 2027, and the terms of the agreements outline a balloon payment at maturity for each loan. The interest rate on the loans is variable based on the LPR (loan prime rate) minus 0.89 percent. For the three month period ending September 30, 2026, the interest rate for the loans was 2.11 percent. These loans have been classified as long term debt on the accompanying Condensed Consolidated Balance Sheets based on the Company's intent and ability to refinance the loans on a long-term basis. The Company maintains a revolving credit agreement with a maturity extending beyond twelve months from the balance sheet date and sufficient borrowing capacity to replace the loans with a long-term financing facility.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 of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numerator for the calculation of basic and diluted earnings per share is net earnings. The following table sets forth the computation of basic and diluted weighted-average shares used in the earnings per share calculations: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 of Common Stock (continued)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28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640" w:type="dxa"/>
            <w:vAlign w:val="bottom"/>
          </w:tcPr>
          <w:p>
            <w:pPr>
              <w:spacing w:after="0"/>
              <w:rPr>
                <w:sz w:val="20"/>
                <w:szCs w:val="20"/>
                <w:color w:val="auto"/>
              </w:rPr>
            </w:pPr>
          </w:p>
        </w:tc>
        <w:tc>
          <w:tcPr>
            <w:tcW w:w="28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c>
          <w:tcPr>
            <w:tcW w:w="27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564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135,363,668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139,953,331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136,923,962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141,707,680</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share units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734,055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941,557</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874,905</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136,097,723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140,894,888</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137,698,046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142,582,585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the A. O. Smith Combined Incentive Compensation Plan (the Incentive Plan) effective January 1, 2007, and the Incentive Plan was most recently reapproved by stockholders on April 15, 2020. The Incentive Plan is a continuation of the A. O. Smith Combined Executive Incentive Compensation Plan which was originally approved by stockholders in 2002. The number of shares available for granting of share-based compensation at September 30, 2026 was 1,879,392. Upon vesting or exercise of share-based compensation, shares are issued from treasury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Units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Participants in the Incentive Plan may be awarded share units. Share units vest three years after the date of grant. The Company granted 231,374 and 245,168 share units under the Incentive Plan in the nine months ended September 30, 2026 and 2025, respectively.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 units were valued at $17.5 million and $16.1 million at the date of issuance in 2026 and 2025, respectively, based on the price of the Company’s Common Stock at the date of grant. The share units are recognized as compensation expense ratably over the three-year vesting period. Included in share unit expense in the nine months ended September 30, 2026 and 2025 was expense associated with accelerated vesting of share unit awards for certain employees who are retirement eligible or will become retirement eligible during the vesting period. Share-based compensation expense attributable to share units of $2.6 million and $2.1 million was recognized in the three months ended September 30, 2026 and 2025, respectively. Share-based compensation expense attributable to share units of $10.3 million and $9.4 million was recognized in the nine months ended September 30, 2026 and 2025, respectively. Certain non-U.S.-based employees receive the cash value of the share price at the vesting date in lieu of shares. Unvested cash-settled awards are remeasured at each reporting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 unit activity under the Incentive Plan is as follows for the nine months ended September 30,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180"/>
        </w:trPr>
        <w:tc>
          <w:tcPr>
            <w:tcW w:w="84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Number of 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Grant Date Value</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January 1,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September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2023, certain executives may be awarded performance stock units under the Incentive Plan. Performance stock units vest over three years following the grant date. Performance stock units vest under a set of measurement criteria that are based upon achievement of certain sustainability targets. Potential payouts range from zero to 150% of the target awards and changes from target amounts are reflected as performance adjustments. The Company granted 32,420 and 38,150 performance stock units under the Incentive Plan in the nine months ended September 30, 2026 and 2025,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stock units were valued at $2.5 million at the date of issuance in both 2026 and 2025 based on the price of the Company’s Common Stock at the date of grant. The performance stock units are recognized as compensation expense ratably over the three-year vesting period. Share-based compensation expense attributable to performance stock units of $0.9 million and $0.7 million was recognized in the three months ended September 30, 2026 and 2025, respectively. Share-based compensation expense attributable to performance stock units of $2.5 million and $1.9 million was recognized in the nine months ended September 30, 2026 and 2025, respectively. Certain non-U.S.-based executives receive the cash value of the share price at the vesting date in lieu of shares. Unvested cash-settled awards are remeasured at each reporting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 Based Compensation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performance stock unit activity under the Incentive Plan is as follows for the nine months ended September 30,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184"/>
        </w:trPr>
        <w:tc>
          <w:tcPr>
            <w:tcW w:w="8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r>
      <w:tr>
        <w:trPr>
          <w:trHeight w:val="234"/>
        </w:trPr>
        <w:tc>
          <w:tcPr>
            <w:tcW w:w="84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Units</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Grant Date Value</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January 1,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adjustments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unvested at September 30, 2026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r>
      <w:tr>
        <w:trPr>
          <w:trHeight w:val="21"/>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Results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comprised of two reporting segments: North America and Rest of World. The 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the financial information presented by the two reporting segments. The measures regularly reviewed by the CODM include segment sales, earnings, and segment margin. Segment earnings, defined by the Company as earnings before interest expense, taxes, corporate expense, and corporate research and development expenses, were used to measure the performance of the segments. The CODM uses these financial measures to evaluate and allocate capital and company resources as critical determinants of segment performance.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w w:val="97"/>
              </w:rPr>
              <w:t>North America</w:t>
            </w:r>
          </w:p>
        </w:tc>
        <w:tc>
          <w:tcPr>
            <w:tcW w:w="120" w:type="dxa"/>
            <w:vAlign w:val="bottom"/>
          </w:tcPr>
          <w:p>
            <w:pPr>
              <w:spacing w:after="0"/>
              <w:rPr>
                <w:sz w:val="15"/>
                <w:szCs w:val="15"/>
                <w:color w:val="auto"/>
              </w:rPr>
            </w:pPr>
          </w:p>
        </w:tc>
        <w:tc>
          <w:tcPr>
            <w:tcW w:w="12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Rest of World</w:t>
            </w:r>
          </w:p>
        </w:tc>
        <w:tc>
          <w:tcPr>
            <w:tcW w:w="142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Total Segments</w:t>
            </w:r>
          </w:p>
        </w:tc>
        <w:tc>
          <w:tcPr>
            <w:tcW w:w="200" w:type="dxa"/>
            <w:vAlign w:val="bottom"/>
          </w:tcPr>
          <w:p>
            <w:pPr>
              <w:spacing w:after="0"/>
              <w:rPr>
                <w:sz w:val="15"/>
                <w:szCs w:val="15"/>
                <w:color w:val="auto"/>
              </w:rPr>
            </w:pPr>
          </w:p>
        </w:tc>
        <w:tc>
          <w:tcPr>
            <w:tcW w:w="122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5"/>
                <w:szCs w:val="15"/>
                <w:color w:val="auto"/>
              </w:rPr>
            </w:pPr>
          </w:p>
        </w:tc>
        <w:tc>
          <w:tcPr>
            <w:tcW w:w="102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Results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spacing w:after="0" w:line="160" w:lineRule="exact"/>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14"/>
                <w:szCs w:val="14"/>
                <w:color w:val="auto"/>
              </w:rPr>
            </w:pPr>
          </w:p>
        </w:tc>
        <w:tc>
          <w:tcPr>
            <w:tcW w:w="12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Rest of World</w:t>
            </w:r>
          </w:p>
        </w:tc>
        <w:tc>
          <w:tcPr>
            <w:tcW w:w="142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9"/>
              </w:rPr>
              <w:t>Total Segments</w:t>
            </w:r>
          </w:p>
        </w:tc>
        <w:tc>
          <w:tcPr>
            <w:tcW w:w="200" w:type="dxa"/>
            <w:vAlign w:val="bottom"/>
          </w:tcPr>
          <w:p>
            <w:pPr>
              <w:spacing w:after="0"/>
              <w:rPr>
                <w:sz w:val="14"/>
                <w:szCs w:val="14"/>
                <w:color w:val="auto"/>
              </w:rPr>
            </w:pPr>
          </w:p>
        </w:tc>
        <w:tc>
          <w:tcPr>
            <w:tcW w:w="12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4"/>
                <w:szCs w:val="14"/>
                <w:color w:val="auto"/>
              </w:rPr>
            </w:pPr>
          </w:p>
        </w:tc>
        <w:tc>
          <w:tcPr>
            <w:tcW w:w="1020" w:type="dxa"/>
            <w:vAlign w:val="bottom"/>
          </w:tcPr>
          <w:p>
            <w:pPr>
              <w:jc w:val="right"/>
              <w:ind w:right="39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Nine Months Ended September 30, 2026</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15"/>
                <w:szCs w:val="15"/>
                <w:color w:val="auto"/>
              </w:rPr>
            </w:pPr>
          </w:p>
        </w:tc>
        <w:tc>
          <w:tcPr>
            <w:tcW w:w="12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Rest of World</w:t>
            </w:r>
          </w:p>
        </w:tc>
        <w:tc>
          <w:tcPr>
            <w:tcW w:w="142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Total Segments</w:t>
            </w:r>
          </w:p>
        </w:tc>
        <w:tc>
          <w:tcPr>
            <w:tcW w:w="200" w:type="dxa"/>
            <w:vAlign w:val="bottom"/>
          </w:tcPr>
          <w:p>
            <w:pPr>
              <w:spacing w:after="0"/>
              <w:rPr>
                <w:sz w:val="15"/>
                <w:szCs w:val="15"/>
                <w:color w:val="auto"/>
              </w:rPr>
            </w:pPr>
          </w:p>
        </w:tc>
        <w:tc>
          <w:tcPr>
            <w:tcW w:w="122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5"/>
                <w:szCs w:val="15"/>
                <w:color w:val="auto"/>
              </w:rPr>
            </w:pPr>
          </w:p>
        </w:tc>
        <w:tc>
          <w:tcPr>
            <w:tcW w:w="102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2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428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Results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0"/>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0"/>
              <w:spacing w:after="0" w:line="177" w:lineRule="exact"/>
              <w:rPr>
                <w:sz w:val="20"/>
                <w:szCs w:val="20"/>
                <w:color w:val="auto"/>
              </w:rPr>
            </w:pPr>
            <w:r>
              <w:rPr>
                <w:rFonts w:ascii="Times New Roman" w:cs="Times New Roman" w:eastAsia="Times New Roman" w:hAnsi="Times New Roman"/>
                <w:sz w:val="18"/>
                <w:szCs w:val="18"/>
                <w:color w:val="auto"/>
              </w:rPr>
              <w:t>Inter-segment</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Borders>
              <w:bottom w:val="single" w:sz="8" w:color="auto"/>
            </w:tcBorders>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14"/>
                <w:szCs w:val="14"/>
                <w:color w:val="auto"/>
              </w:rPr>
            </w:pPr>
          </w:p>
        </w:tc>
        <w:tc>
          <w:tcPr>
            <w:tcW w:w="12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Rest of World</w:t>
            </w:r>
          </w:p>
        </w:tc>
        <w:tc>
          <w:tcPr>
            <w:tcW w:w="120" w:type="dxa"/>
            <w:vAlign w:val="bottom"/>
          </w:tcPr>
          <w:p>
            <w:pPr>
              <w:spacing w:after="0"/>
              <w:rPr>
                <w:sz w:val="14"/>
                <w:szCs w:val="14"/>
                <w:color w:val="auto"/>
              </w:rPr>
            </w:pPr>
          </w:p>
        </w:tc>
        <w:tc>
          <w:tcPr>
            <w:tcW w:w="11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8"/>
                <w:szCs w:val="18"/>
                <w:color w:val="auto"/>
              </w:rPr>
              <w:t>Elimination</w:t>
            </w:r>
          </w:p>
        </w:tc>
        <w:tc>
          <w:tcPr>
            <w:tcW w:w="1400" w:type="dxa"/>
            <w:vAlign w:val="bottom"/>
            <w:gridSpan w:val="4"/>
          </w:tcPr>
          <w:p>
            <w:pPr>
              <w:ind w:left="100"/>
              <w:spacing w:after="0" w:line="160" w:lineRule="exact"/>
              <w:rPr>
                <w:sz w:val="20"/>
                <w:szCs w:val="20"/>
                <w:color w:val="auto"/>
              </w:rPr>
            </w:pPr>
            <w:r>
              <w:rPr>
                <w:rFonts w:ascii="Times New Roman" w:cs="Times New Roman" w:eastAsia="Times New Roman" w:hAnsi="Times New Roman"/>
                <w:sz w:val="18"/>
                <w:szCs w:val="18"/>
                <w:color w:val="auto"/>
              </w:rPr>
              <w:t>Total Segments</w:t>
            </w:r>
          </w:p>
        </w:tc>
        <w:tc>
          <w:tcPr>
            <w:tcW w:w="200" w:type="dxa"/>
            <w:vAlign w:val="bottom"/>
          </w:tcPr>
          <w:p>
            <w:pPr>
              <w:spacing w:after="0"/>
              <w:rPr>
                <w:sz w:val="14"/>
                <w:szCs w:val="14"/>
                <w:color w:val="auto"/>
              </w:rPr>
            </w:pPr>
          </w:p>
        </w:tc>
        <w:tc>
          <w:tcPr>
            <w:tcW w:w="10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9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profit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3060" w:type="dxa"/>
            <w:vAlign w:val="bottom"/>
            <w:tcBorders>
              <w:bottom w:val="single" w:sz="8" w:color="CCEEFF"/>
            </w:tcBorders>
            <w:gridSpan w:val="3"/>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306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Earnings before provision for income</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 depreciation and capital expenditures by segment</w:t>
            </w: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6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58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majority of Corporate assets consist of cash, cash equivalents, marketable securities, and deferred income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Depreciation and amortization</w:t>
            </w:r>
          </w:p>
        </w:tc>
        <w:tc>
          <w:tcPr>
            <w:tcW w:w="3280" w:type="dxa"/>
            <w:vAlign w:val="bottom"/>
          </w:tcPr>
          <w:p>
            <w:pPr>
              <w:spacing w:after="0"/>
              <w:rPr>
                <w:sz w:val="18"/>
                <w:szCs w:val="18"/>
                <w:color w:val="auto"/>
              </w:rPr>
            </w:pPr>
          </w:p>
        </w:tc>
        <w:tc>
          <w:tcPr>
            <w:tcW w:w="2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3"/>
          </w:tcPr>
          <w:p>
            <w:pPr>
              <w:jc w:val="center"/>
              <w:ind w:right="330"/>
              <w:spacing w:after="0" w:line="160" w:lineRule="exact"/>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left="450"/>
              <w:spacing w:after="0" w:line="160" w:lineRule="exact"/>
              <w:rPr>
                <w:sz w:val="20"/>
                <w:szCs w:val="20"/>
                <w:color w:val="auto"/>
              </w:rPr>
            </w:pPr>
            <w:r>
              <w:rPr>
                <w:rFonts w:ascii="Times New Roman" w:cs="Times New Roman" w:eastAsia="Times New Roman" w:hAnsi="Times New Roman"/>
                <w:sz w:val="18"/>
                <w:szCs w:val="18"/>
                <w:color w:val="auto"/>
                <w:w w:val="98"/>
              </w:rPr>
              <w:t>September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40" w:type="dxa"/>
            <w:vAlign w:val="bottom"/>
            <w:gridSpan w:val="2"/>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32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gridSpan w:val="3"/>
          </w:tcPr>
          <w:p>
            <w:pPr>
              <w:jc w:val="center"/>
              <w:ind w:right="330"/>
              <w:spacing w:after="0" w:line="156" w:lineRule="exact"/>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center"/>
              <w:ind w:left="450"/>
              <w:spacing w:after="0" w:line="156" w:lineRule="exact"/>
              <w:rPr>
                <w:sz w:val="20"/>
                <w:szCs w:val="20"/>
                <w:color w:val="auto"/>
              </w:rPr>
            </w:pPr>
            <w:r>
              <w:rPr>
                <w:rFonts w:ascii="Times New Roman" w:cs="Times New Roman" w:eastAsia="Times New Roman" w:hAnsi="Times New Roman"/>
                <w:sz w:val="18"/>
                <w:szCs w:val="18"/>
                <w:color w:val="auto"/>
                <w:w w:val="98"/>
              </w:rPr>
              <w:t>September 30,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6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4200" w:type="dxa"/>
            <w:vAlign w:val="bottom"/>
            <w:gridSpan w:val="3"/>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gridSpan w:val="2"/>
          </w:tcPr>
          <w:p>
            <w:pPr>
              <w:spacing w:after="0"/>
              <w:rPr>
                <w:sz w:val="4"/>
                <w:szCs w:val="4"/>
                <w:color w:val="auto"/>
              </w:rPr>
            </w:pPr>
          </w:p>
        </w:tc>
        <w:tc>
          <w:tcPr>
            <w:tcW w:w="4040" w:type="dxa"/>
            <w:vAlign w:val="bottom"/>
            <w:tcBorders>
              <w:bottom w:val="single" w:sz="8" w:color="CCEEFF"/>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among other things, defines fair value, establishes a consistent framework for measuring fair value and expands disclosure for each major asset and liability category measured at fair value on either a recurring basis or nonrecurring basis. ASC 820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 Assets and liabilities measured at fair value are based on the market approach which are prices and other relevant information generated by market transactions involving identical or comparable assets or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 are as follows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4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Measurement Using</w:t>
            </w:r>
          </w:p>
        </w:tc>
        <w:tc>
          <w:tcPr>
            <w:tcW w:w="1000" w:type="dxa"/>
            <w:vAlign w:val="bottom"/>
          </w:tcPr>
          <w:p>
            <w:pPr>
              <w:spacing w:after="0"/>
              <w:rPr>
                <w:sz w:val="16"/>
                <w:szCs w:val="16"/>
                <w:color w:val="auto"/>
              </w:rPr>
            </w:pPr>
          </w:p>
        </w:tc>
        <w:tc>
          <w:tcPr>
            <w:tcW w:w="2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16"/>
                <w:szCs w:val="16"/>
                <w:color w:val="auto"/>
              </w:rPr>
            </w:pPr>
          </w:p>
        </w:tc>
        <w:tc>
          <w:tcPr>
            <w:tcW w:w="1340" w:type="dxa"/>
            <w:vAlign w:val="bottom"/>
          </w:tcPr>
          <w:p>
            <w:pPr>
              <w:jc w:val="right"/>
              <w:ind w:right="490"/>
              <w:spacing w:after="0" w:line="194"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5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(Level 1)</w:t>
            </w:r>
          </w:p>
        </w:tc>
        <w:tc>
          <w:tcPr>
            <w:tcW w:w="31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312"/>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3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Net Derivative Assets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12 for additional details regarding the classifications of the derivative contracts.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Items measured at fair value were comprised of the Company’s marketable securities (Level 1) and derivative instruments (Level 2). There were no changes in the Company's valuation techniques used to measure fair values on a recurring basis during the nine months ended September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certain derivative instruments to enhance its ability to manage currency exposure as well as raw materials price risk. Derivative instruments are entered into for periods consistent with the related underlying exposures and do not constitute positions independent of those exposures. The Company does not enter into contracts for speculative purposes. The contracts are executed with major financial institutions with no credit loss anticipated for failure of the counterparties to perform.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its net investment hedges, the Company designates all of its hedging instruments that qualify for hedge accounting in accordance with ASC 815 as cash flow hedges. For derivative instruments that are designated and qualify as a cash flow hedge (i.e., hedging the exposure to variability in expected future cash flows that is attributable to a particular risk), gains or losses on the derivative instrument are reported as a component of other comprehensive loss, net of tax, and are reclassified into earnings in the same line item associated with the forecasted transaction and in the same period or periods during which the hedged transaction affects earnings.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risk as a result of transactions in currencies other than the functional currency of certain subsidiaries. The Company utilizes foreign currency forward purchase and sale contracts to manage the volatility associated with foreign currency purchases, sales and certain intercompany transactions in the normal course of business. Principal currencies for which the Company utilizes foreign currency forward contracts from time to time include the British pound, Canadian dollar, Euro and Mexican peso.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and losses on these instruments are recorded in accumulated other comprehensive loss, net of tax, until the underlying transaction is recorded in earnings. When the hedged item is realized, gains or losses are reclassified from accumulated other comprehensive loss to the condensed consolidated statement of earnings. The assessment of effectiveness for forward contracts is based on changes in the forward rates. These hedges have been determined to be effective.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amounts in accumulated other comprehensive loss for cash flow hedges are expected to be reclassified into earnings within one year. The combined fair value of the foreign currency forward contracts was an asset balance of $1.8 million as of September 30, 2026 and $1.0 million as of December 31, 2025, respectively, which was recorded in Other current assets within the condensed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 (continued)</w:t>
      </w:r>
    </w:p>
    <w:p>
      <w:pPr>
        <w:spacing w:after="0" w:line="200" w:lineRule="exact"/>
        <w:rPr>
          <w:sz w:val="20"/>
          <w:szCs w:val="20"/>
          <w:color w:val="auto"/>
        </w:rPr>
      </w:pPr>
    </w:p>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currency, the contractual amounts of the Company’s foreign currency forward contracts as of the dates indicated that were designated as cash flow hedges: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22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September 30, 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Buy</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Buy</w:t>
            </w:r>
          </w:p>
        </w:tc>
        <w:tc>
          <w:tcPr>
            <w:tcW w:w="32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Sell</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interest rate risk as a result of its floating rate borrowings. The Company entered into a forward interest rate swap agreement with an independent counterparty to hedge the variability in cash flows due to changes in the Secured Overnight Financing Rate (SOFR) benchmark interest rate associated with variable rate borrowings. The interest rate swap at September 30, 2026 has a maturity date of September 30, 2029 and effectively converts the Company’s variable interest rate obligation to a fixed interest rate obligation. The interest rate swap had an aggregate notional amount of 3.6 billion rupees (approximately $37.1 million) and 4.2 billion rupees (approximately $46.6 million) as of September 30, 2026 and December 31, 2025, respectively. The aggregate effective interest rate of the swap as of September 30, 2026 was 8.25%.</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interest rate swap contract was a liability balance of $0.2 million and $1.0 million as of September 30, 2026 and December 31, 2025, respectively, which was recorded in Accrued liabilities within the condensed consolidated balance sheet.</w:t>
      </w: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cash flow hedges on the condensed consolidated statement of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September 30 (dollars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175"/>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Derivatives in ASC 815 cash flow hedging</w:t>
            </w:r>
          </w:p>
        </w:tc>
        <w:tc>
          <w:tcPr>
            <w:tcW w:w="2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recognized in other</w:t>
            </w:r>
          </w:p>
        </w:tc>
        <w:tc>
          <w:tcPr>
            <w:tcW w:w="0" w:type="dxa"/>
            <w:vAlign w:val="bottom"/>
          </w:tcPr>
          <w:p>
            <w:pPr>
              <w:spacing w:after="0"/>
              <w:rPr>
                <w:sz w:val="1"/>
                <w:szCs w:val="1"/>
                <w:color w:val="auto"/>
              </w:rPr>
            </w:pPr>
          </w:p>
        </w:tc>
      </w:tr>
      <w:tr>
        <w:trPr>
          <w:trHeight w:val="189"/>
        </w:trPr>
        <w:tc>
          <w:tcPr>
            <w:tcW w:w="3660" w:type="dxa"/>
            <w:vAlign w:val="bottom"/>
            <w:gridSpan w:val="3"/>
            <w:vMerge w:val="continue"/>
          </w:tcPr>
          <w:p>
            <w:pPr>
              <w:spacing w:after="0"/>
              <w:rPr>
                <w:sz w:val="16"/>
                <w:szCs w:val="16"/>
                <w:color w:val="auto"/>
              </w:rPr>
            </w:pPr>
          </w:p>
        </w:tc>
        <w:tc>
          <w:tcPr>
            <w:tcW w:w="25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comprehensive</w:t>
            </w:r>
          </w:p>
        </w:tc>
        <w:tc>
          <w:tcPr>
            <w:tcW w:w="0" w:type="dxa"/>
            <w:vAlign w:val="bottom"/>
          </w:tcPr>
          <w:p>
            <w:pPr>
              <w:spacing w:after="0"/>
              <w:rPr>
                <w:sz w:val="1"/>
                <w:szCs w:val="1"/>
                <w:color w:val="auto"/>
              </w:rPr>
            </w:pPr>
          </w:p>
        </w:tc>
      </w:tr>
      <w:tr>
        <w:trPr>
          <w:trHeight w:val="155"/>
        </w:trPr>
        <w:tc>
          <w:tcPr>
            <w:tcW w:w="3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relationships</w:t>
            </w:r>
          </w:p>
        </w:tc>
        <w:tc>
          <w:tcPr>
            <w:tcW w:w="560" w:type="dxa"/>
            <w:vAlign w:val="bottom"/>
          </w:tcPr>
          <w:p>
            <w:pPr>
              <w:spacing w:after="0"/>
              <w:rPr>
                <w:sz w:val="13"/>
                <w:szCs w:val="13"/>
                <w:color w:val="auto"/>
              </w:rPr>
            </w:pPr>
          </w:p>
        </w:tc>
        <w:tc>
          <w:tcPr>
            <w:tcW w:w="25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5"/>
                <w:szCs w:val="15"/>
                <w:color w:val="auto"/>
              </w:rPr>
              <w:t>loss on derivatives</w:t>
            </w:r>
          </w:p>
        </w:tc>
        <w:tc>
          <w:tcPr>
            <w:tcW w:w="0" w:type="dxa"/>
            <w:vAlign w:val="bottom"/>
          </w:tcPr>
          <w:p>
            <w:pPr>
              <w:spacing w:after="0"/>
              <w:rPr>
                <w:sz w:val="1"/>
                <w:szCs w:val="1"/>
                <w:color w:val="auto"/>
              </w:rPr>
            </w:pPr>
          </w:p>
        </w:tc>
      </w:tr>
      <w:tr>
        <w:trPr>
          <w:trHeight w:val="34"/>
        </w:trPr>
        <w:tc>
          <w:tcPr>
            <w:tcW w:w="92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Location of gain (loss)</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gain (loss)</w:t>
            </w:r>
          </w:p>
        </w:tc>
      </w:tr>
      <w:tr>
        <w:trPr>
          <w:trHeight w:val="175"/>
        </w:trPr>
        <w:tc>
          <w:tcPr>
            <w:tcW w:w="23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reclassified from</w:t>
            </w:r>
          </w:p>
        </w:tc>
        <w:tc>
          <w:tcPr>
            <w:tcW w:w="2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reclassified from</w:t>
            </w:r>
          </w:p>
        </w:tc>
      </w:tr>
      <w:tr>
        <w:trPr>
          <w:trHeight w:val="184"/>
        </w:trPr>
        <w:tc>
          <w:tcPr>
            <w:tcW w:w="23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accumulated other</w:t>
            </w:r>
          </w:p>
        </w:tc>
        <w:tc>
          <w:tcPr>
            <w:tcW w:w="2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accumulated other</w:t>
            </w:r>
          </w:p>
        </w:tc>
      </w:tr>
      <w:tr>
        <w:trPr>
          <w:trHeight w:val="180"/>
        </w:trPr>
        <w:tc>
          <w:tcPr>
            <w:tcW w:w="23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comprehensive loss</w:t>
            </w:r>
          </w:p>
        </w:tc>
        <w:tc>
          <w:tcPr>
            <w:tcW w:w="25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comprehensive</w:t>
            </w:r>
          </w:p>
        </w:tc>
      </w:tr>
      <w:tr>
        <w:trPr>
          <w:trHeight w:val="239"/>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into earnings</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loss into earnings</w:t>
            </w:r>
          </w:p>
        </w:tc>
      </w:tr>
      <w:tr>
        <w:trPr>
          <w:trHeight w:val="225"/>
        </w:trPr>
        <w:tc>
          <w:tcPr>
            <w:tcW w:w="2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1" w:lineRule="exact"/>
        <w:rPr>
          <w:sz w:val="20"/>
          <w:szCs w:val="20"/>
          <w:color w:val="auto"/>
        </w:rPr>
      </w:pPr>
    </w:p>
    <w:p>
      <w:pPr>
        <w:sectPr>
          <w:pgSz w:w="11900" w:h="16838" w:orient="portrait"/>
          <w:cols w:equalWidth="0" w:num="2">
            <w:col w:w="6240" w:space="120"/>
            <w:col w:w="4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0.7</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3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0.5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Location of gain (loss)</w:t>
            </w:r>
          </w:p>
        </w:tc>
        <w:tc>
          <w:tcPr>
            <w:tcW w:w="260" w:type="dxa"/>
            <w:vAlign w:val="bottom"/>
          </w:tcPr>
          <w:p>
            <w:pPr>
              <w:spacing w:after="0"/>
              <w:rPr>
                <w:sz w:val="18"/>
                <w:szCs w:val="18"/>
                <w:color w:val="auto"/>
              </w:rPr>
            </w:pPr>
          </w:p>
        </w:tc>
        <w:tc>
          <w:tcPr>
            <w:tcW w:w="23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3"/>
          </w:tcPr>
          <w:p>
            <w:pPr>
              <w:jc w:val="center"/>
              <w:ind w:left="50"/>
              <w:spacing w:after="0" w:line="181" w:lineRule="exact"/>
              <w:rPr>
                <w:sz w:val="20"/>
                <w:szCs w:val="20"/>
                <w:color w:val="auto"/>
              </w:rPr>
            </w:pPr>
            <w:r>
              <w:rPr>
                <w:rFonts w:ascii="Times New Roman" w:cs="Times New Roman" w:eastAsia="Times New Roman" w:hAnsi="Times New Roman"/>
                <w:sz w:val="18"/>
                <w:szCs w:val="18"/>
                <w:color w:val="auto"/>
                <w:w w:val="99"/>
              </w:rPr>
              <w:t>Amount of gain (loss)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reclassified from</w:t>
            </w:r>
          </w:p>
        </w:tc>
        <w:tc>
          <w:tcPr>
            <w:tcW w:w="260" w:type="dxa"/>
            <w:vAlign w:val="bottom"/>
          </w:tcPr>
          <w:p>
            <w:pPr>
              <w:spacing w:after="0"/>
              <w:rPr>
                <w:sz w:val="15"/>
                <w:szCs w:val="15"/>
                <w:color w:val="auto"/>
              </w:rPr>
            </w:pPr>
          </w:p>
        </w:tc>
        <w:tc>
          <w:tcPr>
            <w:tcW w:w="2300" w:type="dxa"/>
            <w:vAlign w:val="bottom"/>
            <w:gridSpan w:val="4"/>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w w:val="98"/>
              </w:rPr>
              <w:t>reclassified from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Derivatives in ASC 815 cash flow hedging</w:t>
            </w:r>
          </w:p>
        </w:tc>
        <w:tc>
          <w:tcPr>
            <w:tcW w:w="280" w:type="dxa"/>
            <w:vAlign w:val="bottom"/>
          </w:tcPr>
          <w:p>
            <w:pPr>
              <w:spacing w:after="0"/>
              <w:rPr>
                <w:sz w:val="16"/>
                <w:szCs w:val="16"/>
                <w:color w:val="auto"/>
              </w:rPr>
            </w:pPr>
          </w:p>
        </w:tc>
        <w:tc>
          <w:tcPr>
            <w:tcW w:w="1880" w:type="dxa"/>
            <w:vAlign w:val="bottom"/>
            <w:gridSpan w:val="3"/>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recognized in other</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accumulated other</w:t>
            </w:r>
          </w:p>
        </w:tc>
        <w:tc>
          <w:tcPr>
            <w:tcW w:w="260" w:type="dxa"/>
            <w:vAlign w:val="bottom"/>
          </w:tcPr>
          <w:p>
            <w:pPr>
              <w:spacing w:after="0"/>
              <w:rPr>
                <w:sz w:val="16"/>
                <w:szCs w:val="16"/>
                <w:color w:val="auto"/>
              </w:rPr>
            </w:pPr>
          </w:p>
        </w:tc>
        <w:tc>
          <w:tcPr>
            <w:tcW w:w="2300" w:type="dxa"/>
            <w:vAlign w:val="bottom"/>
            <w:gridSpan w:val="4"/>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accumulated other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3"/>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comprehensive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8"/>
              </w:rPr>
              <w:t>comprehensive loss</w:t>
            </w:r>
          </w:p>
        </w:tc>
        <w:tc>
          <w:tcPr>
            <w:tcW w:w="260" w:type="dxa"/>
            <w:vAlign w:val="bottom"/>
          </w:tcPr>
          <w:p>
            <w:pPr>
              <w:spacing w:after="0"/>
              <w:rPr>
                <w:sz w:val="15"/>
                <w:szCs w:val="15"/>
                <w:color w:val="auto"/>
              </w:rPr>
            </w:pPr>
          </w:p>
        </w:tc>
        <w:tc>
          <w:tcPr>
            <w:tcW w:w="2300" w:type="dxa"/>
            <w:vAlign w:val="bottom"/>
            <w:gridSpan w:val="4"/>
          </w:tcPr>
          <w:p>
            <w:pPr>
              <w:jc w:val="center"/>
              <w:ind w:right="170"/>
              <w:spacing w:after="0" w:line="156" w:lineRule="exact"/>
              <w:rPr>
                <w:sz w:val="20"/>
                <w:szCs w:val="20"/>
                <w:color w:val="auto"/>
              </w:rPr>
            </w:pPr>
            <w:r>
              <w:rPr>
                <w:rFonts w:ascii="Times New Roman" w:cs="Times New Roman" w:eastAsia="Times New Roman" w:hAnsi="Times New Roman"/>
                <w:sz w:val="18"/>
                <w:szCs w:val="18"/>
                <w:color w:val="auto"/>
                <w:w w:val="99"/>
              </w:rPr>
              <w:t>comprehensive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relationships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loss on derivatives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into earnings</w:t>
            </w:r>
          </w:p>
        </w:tc>
        <w:tc>
          <w:tcPr>
            <w:tcW w:w="260" w:type="dxa"/>
            <w:vAlign w:val="bottom"/>
          </w:tcPr>
          <w:p>
            <w:pPr>
              <w:spacing w:after="0"/>
              <w:rPr>
                <w:sz w:val="14"/>
                <w:szCs w:val="14"/>
                <w:color w:val="auto"/>
              </w:rPr>
            </w:pPr>
          </w:p>
        </w:tc>
        <w:tc>
          <w:tcPr>
            <w:tcW w:w="2300" w:type="dxa"/>
            <w:vAlign w:val="bottom"/>
            <w:gridSpan w:val="4"/>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9"/>
              </w:rPr>
              <w:t>loss into earnings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Hedges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foreign currency denominated intercompany debt and third-party foreign currency forward contracts to hedge the exposure to a portion of the Company’s net investments in certain non-U.S. subsidiaries against the effect of exchange rate fluctuations on the translation of foreign currency balances to the U.S. dollar. For the derivative instruments that are designated and qualify as net investment hedges, gains and losses are reported in other comprehensive loss where they offset gains and losses recorded on the Company’s net investments in its non-U.S. subsidiaries. These hedges are determined to be effective. The Company recognized $2.8 million and $1.3 million of after-tax losses associated with hedges of net investments in non-U.S. subsidiaries in currency translation adjustment in other comprehensive loss in the three months ended September 30, 2026 and September 30, 2025, respectively. The Company recognized $8.9 million and $5.1 million of after-tax losses associated with hedges of net investments in non-U.S. subsidiaries in currency translation adjustment in other comprehensive loss in the nine months ended September 30, 2026 and September 30, 2025, respectively.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contractual amount of the Company’s foreign currency denominated intercompany debt that is designated as a net investment hedge was ¥1.5 billion RMB, approximately $217.7 million and $208.8 million, as of September 30, 2026 and December 31, 2025, respectively. The fair value of the net investment hedge was zero as of September 30, 2026 and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for the three and nine months ended September 30, 2026 was 24.2 percent and 23.0 percent, respectively. The effective income tax rate for the three and nine months ended September 30, 2025 was 23.2 percent and 24.1 percent, respectively. The increase in the effective income tax rate for the three months ended September 30, 2026 compared to the effective income tax rate for the three months ended September 30, 2025 was primarily due to unfavorable geographical earnings mix. The decrease in the effective income tax rate for the nine months ended September 30, 2026 compared to the effective income tax rate for the nine months ended September 30, 2025 was primarily due to a discrete tax benefit recognized related to U.S. cross border tax elections.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$13.0 million of unrecognized tax benefits of which $4.9 million would affect its effective income tax rate if recognized. The Company recognizes potential interest and penalties related to unrecognized tax benefits as a component of income tax expense. The Company’s U.S. federal income tax returns and its U.S. state and local income tax returns are subject to audit for the years 2022-2026 and 2010-2026, respectively. The Company is subject to examinations in foreign tax jurisdictions for the years 2020-2026.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2026, the Company identified damage to a portion of the roof structure at its Ashland City, Tennessee facility as a result of a severe ice and snow weather event. For safety reasons, production in the affected area was temporarily suspended while remediation activities were performed. During that period, the Company shifted certain production activities to other facilities to mitigate the operational impact. The Company maintains insurance coverage for property damage, as well as business interruption losses, including lost profits and certain incremental costs incurred as a result of the event. During the second quarter of 2026, the Company submitted an insurance claim for property damage and business interruption losses related to the event, and the Company continues to work with its insurance carrier through the claims process. The Company does not expect this matter to have a material effect on its financial position, results of operations, or cash flows, as the related costs and losses are expected to be recoverable under its insurance coverage.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maintained a commercial relationship with a supply-chain service provider (the Provider) in connection with the Company’s business in China. In this capacity, the Provider offered order-entry, warehousing and logistics support. The Provider also offered asset-backed financing to certain of the Company’s distributors in China to facilitate their working capital needs. To facilitate its financing support business, the Provider had collateralized lending facilities in place with multiple Chinese banks under which the Company has agreed to repurchase inventory if both requested by the banks and certain defined conditions are met, primarily related to the aging of the distributors’ notes. As of December 31, 2025, the Company terminated the arrangement with the Provider. All existing loans have been paid off as of September 30, 2026, with no new loans offered. The Provider is required to indemnify the Company for any losses the Company would incur in the event of an inventory repurchase under these arrangements. Potential losses under the repurchase arrangements represent the difference between the repurchase price and net proceeds from the resale of the product plus costs incurred in the process, less related distributor rebates. The Company’s reserves for estimated losses under these repurchase arrangements were immaterial as of September 30, 2026 and December 31, 2025.</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Changes in Accumulated Other Comprehensive Loss by Component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2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to accumulated other comprehensive loss by component are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194"/>
        </w:trPr>
        <w:tc>
          <w:tcPr>
            <w:tcW w:w="20" w:type="dxa"/>
            <w:vAlign w:val="bottom"/>
          </w:tcPr>
          <w:p>
            <w:pPr>
              <w:spacing w:after="0"/>
              <w:rPr>
                <w:sz w:val="16"/>
                <w:szCs w:val="16"/>
                <w:color w:val="auto"/>
              </w:rPr>
            </w:pPr>
          </w:p>
        </w:tc>
        <w:tc>
          <w:tcPr>
            <w:tcW w:w="8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6"/>
                <w:szCs w:val="16"/>
                <w:color w:val="auto"/>
              </w:rPr>
            </w:pPr>
          </w:p>
        </w:tc>
        <w:tc>
          <w:tcPr>
            <w:tcW w:w="1620" w:type="dxa"/>
            <w:vAlign w:val="bottom"/>
            <w:gridSpan w:val="3"/>
          </w:tcPr>
          <w:p>
            <w:pPr>
              <w:jc w:val="center"/>
              <w:ind w:left="450"/>
              <w:spacing w:after="0" w:line="194" w:lineRule="exact"/>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gain before reclassifications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(loss) gain on cash flow derivatives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gains before reclassifications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84"/>
        </w:trPr>
        <w:tc>
          <w:tcPr>
            <w:tcW w:w="20" w:type="dxa"/>
            <w:vAlign w:val="bottom"/>
          </w:tcPr>
          <w:p>
            <w:pPr>
              <w:spacing w:after="0"/>
              <w:rPr>
                <w:sz w:val="16"/>
                <w:szCs w:val="16"/>
                <w:color w:val="auto"/>
              </w:rPr>
            </w:pPr>
          </w:p>
        </w:tc>
        <w:tc>
          <w:tcPr>
            <w:tcW w:w="846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Realized (gains) losses on derivatives (net of income tax provision (benefit) of $0.3 and $0.1 in 2026 and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9"/>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03"/>
        </w:trPr>
        <w:tc>
          <w:tcPr>
            <w:tcW w:w="20" w:type="dxa"/>
            <w:vAlign w:val="bottom"/>
          </w:tcPr>
          <w:p>
            <w:pPr>
              <w:spacing w:after="0"/>
              <w:rPr>
                <w:sz w:val="17"/>
                <w:szCs w:val="17"/>
                <w:color w:val="auto"/>
              </w:rPr>
            </w:pPr>
          </w:p>
        </w:tc>
        <w:tc>
          <w:tcPr>
            <w:tcW w:w="8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620" w:type="dxa"/>
            <w:vAlign w:val="bottom"/>
            <w:gridSpan w:val="3"/>
          </w:tcPr>
          <w:p>
            <w:pPr>
              <w:jc w:val="center"/>
              <w:ind w:left="450"/>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gain before reclassifications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(loss) gain on cash flow derivatives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gains before reclassifications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75"/>
        </w:trPr>
        <w:tc>
          <w:tcPr>
            <w:tcW w:w="20" w:type="dxa"/>
            <w:vAlign w:val="bottom"/>
          </w:tcPr>
          <w:p>
            <w:pPr>
              <w:spacing w:after="0"/>
              <w:rPr>
                <w:sz w:val="15"/>
                <w:szCs w:val="15"/>
                <w:color w:val="auto"/>
              </w:rPr>
            </w:pPr>
          </w:p>
        </w:tc>
        <w:tc>
          <w:tcPr>
            <w:tcW w:w="8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Realized (gains) losses on derivatives (net of income tax provision (benefit) of $0.6 and $0.1 in 2026 and 2025,</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9"/>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the Company initiated an assessment of strategic opportunities for its China business, including strategic partnerships and other alternatives. On October 27, 2026, the Company entered into definitive agreements to sell an 81% interest in its China business to CPE. The transaction values the China business at approximately $400 million. The Company will retain a 19% interest and continue to participate in its future growth through a long-term brand licensing agreement. Upon closing of the transaction, the Company will deconsolidate the China business and expects to account for its retained ownership interest under the equity method. The transaction is expected to close in the first half of 2027, upon satisfaction of regulatory approvals and other customary closing conditions. The sale represents a strategic shift in the Company’s portfolio and the Company expects to classify the China business as held for sale and report it as discontinued operations beginning in the fourth quarter of 2026, with prior periods to be recast accordingly. The Company will also review its segment reporting structure during the fourth quarter of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0"/>
        <w:spacing w:after="0" w:line="344" w:lineRule="auto"/>
        <w:rPr>
          <w:sz w:val="20"/>
          <w:szCs w:val="20"/>
          <w:color w:val="auto"/>
        </w:rPr>
      </w:pPr>
      <w:r>
        <w:rPr>
          <w:rFonts w:ascii="Times New Roman" w:cs="Times New Roman" w:eastAsia="Times New Roman" w:hAnsi="Times New Roman"/>
          <w:sz w:val="18"/>
          <w:szCs w:val="18"/>
          <w:u w:val="single" w:color="auto"/>
          <w:color w:val="auto"/>
        </w:rPr>
        <w:t xml:space="preserve">ITEM 2 - MANAGEMENT’S DISCUSSION AND ANALYSIS OF FINANCIAL CONDITION AND RESULTS OF OPERATIONS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is comprised of two reporting segments: North America and Rest of World. Our Rest of World segment is primarily comprised of China, India, and Europe. Both segments manufacture and market comprehensive lines of residential and commercial gas, heat pump and electric water heaters, boilers, tanks, and water treatment products. Both segments primarily manufacture and market in their respective region of the world.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North America segment, sales increased three percent in the third quarter of 2026 compared to the third quarter last year. This increase was driven by the incremental sales from the 2026 acquisition of Leonard Valve, a 13 percent increase in boiler sales, and the benefits of pricing actions, which were partially offset by a one percent decline in water heater sales. In our Rest of World segment, sales decreased seven percent in the third quarter of 2026 compared to the third quarter last year. This decrease was due to lower sales in China, which was partially offset by favorable foreign currency translation impact primarily related to China. In local currency, China sales decreased 17 percent due to continued weak consumer demand, as well as disruption to the business related to the recently concluded strategic assessment.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Developments and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China Assessment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27, 2026, we announced that we have entered into definitive agreements with CPE, a leading alternative asset manager, to sell an 81% interest in our China business. This concludes our China strategic assessment that was initiated in July 2025. We will continue to participate in its future growth by retaining a 19% interest and through a long-term brand licensing agreement. The transaction values the China business at approximately $400 million on a cash-free, debt-free basis, before taking into account the long-term brand licensing royalty stream. The transaction is expected to close in the first half of 2027, upon satisfaction of regulatory approvals and other customary closing conditions. We intend to prioritize share repurchases as a use of the after-tax proceeds and repatriated cash following the closing of the transaction. The sale represents a strategic shift in our portfolio and we expect to classify the China business as held for sale and report it as discontinued operations beginning in the fourth quarter of 2026, with prior periods to be recast accordingly. We will also review our segment reporting structure during the fourth quarter of 2026.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our stated strategic priorities, we continue to seek acquisitions that enable growth, expand our core business, and establish adjacencies. In January 2026, we acquired LVC Holdco LLC (Leonard Valve) for $469.5 million which was funded with cash borrowed under a new term loan with a group of eight banks. Leonard Valve is a leading manufacturer of water temperature and flow solutions and we believe it represents a compelling strategic fit as we enter into the water management market. Leonard Valve contributed $14.8 million and $46.6 million to net sales in the third quarter and first nine months of 2026, respectively. In the first quarter of 2026, we recognized $6 million of acquisition-related transaction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Market, and Regulatory Conditions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Department of Energy announced in early 2026 an up-to-one-year enforcement delay of the October 2026 regulatory change related to energy efficiency requirements on commercial gas products. As a result, we expect commercial industry water heater volume to shift from an increase of one percent to flat for 2026. Steel and freight costs, two of our largest cost categories, are expected to each increase by double digits for the full year, with second-half increases in freight costs well above the full-year rate. The impact of International Emergency Economic Powers Act (IEEPA) tariff refunds partially offset the unfavorability of these higher input costs during the third quarter. In response to these higher input costs, in October 2026, we announced price increases on our water heater products in North America of up to nine and a half percent that is expected to go into effect in December 2026. This is in addition to the previously announced price increases in April 2026 of four to seven percent on most of our water heater and boiler products in North America that went into effect at the end of the second quarter.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our stated strategic priorities, we announced in April 2026 a restructuring plan in our North America water treatment business designed to increase operational efficiency and accelerate growth through footprint optimization as well as brand rationalization. In the second quarter, we recognized a restructuring charge of $22.6 million, the majority of which was due to non-cash impairment expenses. Annual savings are projected to be approximately $6 million to $8 million, with approximately $1 million expected to be realized in the second half of 2026. In October 2026, we ceased manufacturing water treatment products at our Groveport, Ohio facility and transferred production to our Appleton, Wisconsin and Haltom City, Texas facilities.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4"/>
                <w:szCs w:val="24"/>
                <w:color w:val="auto"/>
              </w:rPr>
            </w:pPr>
          </w:p>
        </w:tc>
        <w:tc>
          <w:tcPr>
            <w:tcW w:w="2600" w:type="dxa"/>
            <w:vAlign w:val="bottom"/>
            <w:gridSpan w:val="4"/>
          </w:tcPr>
          <w:p>
            <w:pPr>
              <w:jc w:val="right"/>
              <w:ind w:right="652"/>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3"/>
        </w:trPr>
        <w:tc>
          <w:tcPr>
            <w:tcW w:w="20" w:type="dxa"/>
            <w:vAlign w:val="bottom"/>
          </w:tcPr>
          <w:p>
            <w:pPr>
              <w:spacing w:after="0"/>
              <w:rPr>
                <w:sz w:val="17"/>
                <w:szCs w:val="17"/>
                <w:color w:val="auto"/>
              </w:rPr>
            </w:pPr>
          </w:p>
        </w:tc>
        <w:tc>
          <w:tcPr>
            <w:tcW w:w="53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2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2,890.4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2,917.7</w:t>
            </w: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1,772.2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1,780.7</w:t>
            </w: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1,137.0</w:t>
            </w:r>
          </w:p>
        </w:tc>
      </w:tr>
      <w:tr>
        <w:trPr>
          <w:trHeight w:val="196"/>
        </w:trPr>
        <w:tc>
          <w:tcPr>
            <w:tcW w:w="20" w:type="dxa"/>
            <w:vAlign w:val="bottom"/>
          </w:tcPr>
          <w:p>
            <w:pPr>
              <w:spacing w:after="0"/>
              <w:rPr>
                <w:sz w:val="17"/>
                <w:szCs w:val="17"/>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Gross profit margin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38.8 %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38.7 %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39.0 %</w:t>
            </w: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591.1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572.8</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554.5</w:t>
            </w: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133.7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in the third quarter of 2026 were $940.5 million and were slightly lower than the third quarter of 2025 net sales of $942.5 million. Net sales in the first nine months of 2026 were $2,890.4 million and lower than net sales of $2,917.7 million in the first nine months of 2025. Our net sales decrease in the third quarter and first nine months of 2026 was primarily driven by lower net sales in China due to continued weak consumer demand and lower residential water heater volumes, partially offset by the sales contribution in our North America business from the acquisition of Leonard Valve, higher boiler volumes, and the benefits of our pricing actions.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margin in the third quarter of 2026 was 38.8 percent compared to 38.7 percent in the third quarter of 2025. Gross profit margin in the first nine months of 2026 was 38.7 percent compared to 39.0 percent in the first nine months of 2025. The decrease in gross profit margin for first nine months of 2026 compared to the prior year period was primarily due to lower net sales volumes and higher material costs, partially offset by pricing actions and IEEPA tariff refunds.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in the third quarter of 2026 were essentially flat compared to the third quarter of 2025. SG&amp;A expenses increased $18.3 million in the first nine months of 2026 compared to the prior year period. The increase in the first nine months of 2026 compared to the prior year period was primarily due to higher employee costs, amortization expense and transaction costs related to the acquisition of Leonard Valve and consulting costs.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Restructuring and impairment expense in the nine months ended September 30, 2026 was $22.6 million, and was associated with a restructuring plan designed to increase operational efficiency and accelerate growth through footprint optimization and brand rationalization. The expense was related to our water treatment business and recorded in the North America segment.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third quarter of 2026 was $7.7 million compared to $3.6 million in the same period last year. Interest expense in the first nine months of 2026 was $22.9 million compared to $11.1 million in the same period last year. The increase in interest expense in the third quarter and first nine months of 2026 was primarily due to higher debt levels as a result of the Leonard Valve acquisition.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(income), net for the third quarter of 2026 was expense of $0.8 million compared to $0.2 million for the third quarter of 2025. Other expense (income), net for the first nine months of 2026 was expense of $2.2 million, compared to income of $1.4 million for the first nine months of 2025. The change in Other expense (income), net in the third quarter of 2026 was primarily due to higher foreign currency translation losses. The change in Other expense (income), net in the first nine months of 2026 was primarily due to higher foreign currency translation losses and lower interest income.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income tax rate for the three and nine months ended September 30, 2026 was 24.2 percent and 23.0 percent, respectively. The effective income tax rate for the three and nine months ended September 30, 2025 was 23.2 percent and 24.1 percent, respectively. The increase in the effective income tax rate for the three months ended September 30, 2026 compared to the effective income tax rate for the three months ended September 30, 2025 was primarily due to unfavorable geographical earnings mix. The decrease in the effective income tax rate for the nine months ended September 30, 2026 compared to the effective income tax rate for the nine months ended September 30, 2025 was primarily due to a discrete tax benefit recognized in the 2026 period related to U.S. cross border tax elections.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providing non-U.S. Generally Accepted Accounting Principles (GAAP) measures (adjusted earnings, adjusted earnings per share (EPS), total segment earnings, adjusted segment earnings, and adjusted segment margin) that exclude the impact of restructuring and impairment expenses, as well as organic growth (decline) that excludes the impact of acquisitions and divestitures and foreign exchange from year-over-year comparisons. Reconciliations from GAAP measures to non-GAAP measures are provided in the Non-GAAP Measures section below. We believe that the measures of adjusted earnings, adjusted EPS, total segment earnings, organic growth (decline), adjusted segment earnings, and adjusted segment margin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jc w:val="center"/>
              <w:ind w:right="42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7"/>
                <w:szCs w:val="17"/>
                <w:color w:val="auto"/>
              </w:rPr>
            </w:pPr>
          </w:p>
        </w:tc>
        <w:tc>
          <w:tcPr>
            <w:tcW w:w="2600" w:type="dxa"/>
            <w:vAlign w:val="bottom"/>
            <w:gridSpan w:val="4"/>
          </w:tcPr>
          <w:p>
            <w:pPr>
              <w:jc w:val="center"/>
              <w:ind w:right="235"/>
              <w:spacing w:after="0" w:line="202"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20" w:type="dxa"/>
            <w:vAlign w:val="bottom"/>
          </w:tcPr>
          <w:p>
            <w:pPr>
              <w:spacing w:after="0"/>
              <w:rPr>
                <w:sz w:val="17"/>
                <w:szCs w:val="17"/>
                <w:color w:val="auto"/>
              </w:rPr>
            </w:pPr>
          </w:p>
        </w:tc>
        <w:tc>
          <w:tcPr>
            <w:tcW w:w="1660" w:type="dxa"/>
            <w:vAlign w:val="bottom"/>
            <w:gridSpan w:val="3"/>
          </w:tcPr>
          <w:p>
            <w:pPr>
              <w:jc w:val="center"/>
              <w:ind w:left="493"/>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center"/>
              <w:ind w:left="513"/>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2,335.5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2,270.5</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532.5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563.0</w:t>
            </w:r>
          </w:p>
        </w:tc>
      </w:tr>
      <w:tr>
        <w:trPr>
          <w:trHeight w:val="203"/>
        </w:trPr>
        <w:tc>
          <w:tcPr>
            <w:tcW w:w="20" w:type="dxa"/>
            <w:vAlign w:val="bottom"/>
            <w:shd w:val="clear" w:color="auto" w:fill="CCEEFF"/>
          </w:tcPr>
          <w:p>
            <w:pPr>
              <w:spacing w:after="0"/>
              <w:rPr>
                <w:sz w:val="17"/>
                <w:szCs w:val="17"/>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23.6 %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24.2 %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22.8 %</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24.8 %</w:t>
            </w: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in our North America segment were $761.6 million in the third quarter of 2026, an increase of $18.8 million from $742.8 million in the third quarter of 2025. Net sales in the first nine months of 2026 were $2,335.5 million, or $65.0 million higher than net sales of $2,270.5 million in the same period last year. Compared to the prior year quarter, our net sales increase was primarily driven by the benefits of the incremental net sales of approximately $14.8 million from the 2026 acquisition of Leonard Valve, and increased boiler volumes partially offset by lower residential water heater volumes. Our net sales increase in the first nine months compared to the prior year period was primarily driven by the benefits of pricing actions, incremental net sales of approximately $46.6 million from the 2026 acquisition of Leonard Valve, and increased boiler volumes largely offset by lower residential water heater volumes.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North America segment earnings were $179.9 million in the third quarter of 2026, relatively flat to the segment earnings of $179.7 million in the third quarter of 2025. North America segment earnings were $532.5 million in the first nine months of 2026, or $30.5 million lower than segment earnings of $563.0 million in the first nine months of 2025. Segment margins were 23.6 percent and 24.2 percent in the third quarter of 2026 and 2025, respectively. Segment margins were 22.8 percent and 24.8 percent in the first nine months of 2026 and 2025, respectively. Adjusted segment earnings were $555.1 million for the first nine months of 2026, with an adjusted segment margin of 23.8%. These adjusted results exclude the $22.6 million of pretax restructuring and impairment charges as outlined above. Lower segment margin in the third quarter of 2026 was driven by lower residential water heater volumes and higher material and input costs, including steel and freight costs, that more than offset benefits of higher boiler volumes and IEEPA tariff refunds. Lower segment earnings and segment margin in the first nine months of 2026 were primarily driven by the restructuring and impairment charges, increased material and input costs, including steel and freight costs, and lower residential water heater volumes that more than offset the benefits of 2025 pricing actions, IEEPA tariff refunds, and the earnings contribution from Leonard Valve.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 Segment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2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center"/>
              <w:ind w:right="215"/>
              <w:spacing w:after="0" w:line="202"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680" w:type="dxa"/>
            <w:vAlign w:val="bottom"/>
            <w:gridSpan w:val="3"/>
          </w:tcPr>
          <w:p>
            <w:pPr>
              <w:jc w:val="center"/>
              <w:ind w:left="513"/>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center"/>
              <w:ind w:left="513"/>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674.7</w:t>
            </w: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0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60.4</w:t>
            </w:r>
          </w:p>
        </w:tc>
      </w:tr>
      <w:tr>
        <w:trPr>
          <w:trHeight w:val="203"/>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5.4 %</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7.4 %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5.6 %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9.0 %</w:t>
            </w: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in the Rest of World segment were $192.8 million in the third quarter of 2026, a decrease of $15.1 million from $207.9 million in the third quarter of 2025. Net sales in the first nine months of 2026 were $588.4 million, or $86.3 million lower than net sales of $674.7 million in the same period last year. The decrease in net sales in the third quarter of 2026 compared to the same period in 2025 was primarily due to lower net sales in China due to continued weak consumer demand and disruption related to the recently concluded strategic assessment that more than offset the favorable foreign currency translation impact of approximately $5 million resulting from the appreciation of foreign currencies compared to the U.S. dollar. The decrease in net sales in the first nine months of 2026 compared to same period in 2025 was primarily due to lower net sales in China that more than offset the favorable foreign currency translation impact of approximately $19 million resulting from the appreciation of foreign currencies compared to the U.S. dollar.</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 of World segment earnings were $10.5 million in the third quarter of 2026, or $4.9 million lower compared to $15.4 million in the third quarter of 2025. Segment earnings in the first nine months of 2026 were $33.1 million, a decrease of $27.3 million compared to segment earnings of $60.4 million in the same period last year. Segment margins were 5.4 percent and 7.4 percent in the third quarter of 2026 and 2025, respectively. Segment margins were 5.6 percent and 9.0 percent in the first nine months of 2026 and 2025, respectively. The lower segment earnings and segment margin in the third quarter and first nine months of 2026 compared to the prior periods were primarily driven by lower net sales in China due to continued weak consumer demand and the negative impact of the recently concluded strategic assessment, partially offset by tight spending controls in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working capital was $549.0 million at September 30, 2026, compared with $429.0 million at December 31, 2025. The increase in working capital was driven by higher cash, accounts receivable and inventory balances. As of September 30, 2026, cash balances were positively impacted by changes in foreign currency of $2.4 million during 2026. Cash and cash equivalents used to fund our operations are primarily generated through operating activities and our existing credit facilities. We believe our available cash and existing credit facilities are sufficient to cover our cash needs for the foreseeable future. We use a global cash pooling arrangement, intercompany borrowing, and some local credit lines to meet funding needs and allocate capital resources among various entities. We have historically made and anticipate future cash repatriations from certain foreign subsidiaries. In the first nine months of 2026, we repatriated approximately $96 million of cash from our foreign subsidiaries and used the proceeds to pay down outstanding debt balances.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3"/>
        </w:trPr>
        <w:tc>
          <w:tcPr>
            <w:tcW w:w="20" w:type="dxa"/>
            <w:vAlign w:val="bottom"/>
          </w:tcPr>
          <w:p>
            <w:pPr>
              <w:spacing w:after="0"/>
              <w:rPr>
                <w:sz w:val="17"/>
                <w:szCs w:val="17"/>
                <w:color w:val="auto"/>
              </w:rPr>
            </w:pPr>
          </w:p>
        </w:tc>
        <w:tc>
          <w:tcPr>
            <w:tcW w:w="8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620" w:type="dxa"/>
            <w:vAlign w:val="bottom"/>
            <w:gridSpan w:val="3"/>
          </w:tcPr>
          <w:p>
            <w:pPr>
              <w:ind w:left="560"/>
              <w:spacing w:after="0" w:line="202" w:lineRule="exact"/>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429.4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Cash provided by operations in the first nine months of 2026 was $429.4 million, a decrease of $4.3 million from $433.7 million in the first nine months of 2025, primarily due to lower earnings that more than offset benefits of working capital management and higher non-cash expense adjustments. Our free cash flow in the first nine months of 2026 and 2025 was $396.2 million and $380.5 million, respectively. Free cash flow is a non-GAAP measure described in more detail in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totaled $33.2 million in the first nine months of 2026 compared with $53.2 million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renewed and amended our $500 million revolving credit facility ("facility") which now expires on August 23, 2029. The facility is with a group of nine banks and has an accordion provision that allows it to be increased up to $1 billion if certain conditions (including lender approval) are satisfied. Borrowing rates under the facility are determined by our leverage ratio. The facility requires us to maintain two financial covenants, a leverage ratio test and an interest coverage test, and we were in compliance with the covenants as of September 30, 2026, and expect to be in compliance for the foreseeable future. The facility backs up commercial paper and credit line borrowings. At September 30, 2026, we had no borrowings outstanding under the facility and an available borrowing capacity of $500.0 million. We believe the combination of available borrowing capacity and operating cash flows will provide sufficient funds to finance our existing operations for the foreseeable future.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2026, we completed the acquisition of Leonard Valve for $469.5 million. The acquisition was funded under a new three-year, $470 million term loan with a group of eight banks. The Company borrowed the full available amount and used the proceeds to finance the purchase. In July 2026, the Company entered into two loan agreements in China and borrowed the full amounts of 400 million RMB ($59.6 million at September 30, 2026) and 100 million RMB ($14.9 million at September 30, 2026), respectively. Our leverage, as measured by the ratio of total debt to total capitalization, was 27.0 percent at September 30, 2026, compared with 7.7 percent at December 31, 2025. Our total debt increased by $518.1 million in the first nine months of 2026.</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2026, our Board of Directors approved adding 5,000,000 shares of common stock to the existing discretionary share repurchase authority. Under the share repurchase program, common stock may be purchased through a combination of Rule 10b5-1 automatic trading plan and discretionary purchases in accordance with applicable securities laws. The stock repurchase authorization remains effective until terminated by our Board of Directors which may occur at any time, subject to the parameters of any Rule 10b5-1 automatic trading plan that we may then have in effect. During the third quarter of 2026, we repurchased 1,598,303 shares at an average price of $61.44 per share and at a total cost of $98.2 million. As of September 30, 2026, there were 1,604,001 shares remaining on the existing repurchase authorization.</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12, 2026, our Board of Directors declared a regular quarterly cash dividend of $0.38 per share on our Common Stock and Class A common stock. The dividend is payable on November 16, 2026, to shareholders of record on October 30,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providing non-U.S. Generally Accepted Accounting Principles (GAAP) measures (adjusted earnings, adjusted earnings per share (EPS), total segment earnings, adjusted segment earnings, and adjusted segment margin) that exclude the impact of restructuring and impairment expenses. We believe that the measure of adjusted earnings, adjusted EPS, total segment earnings, adjusted segment earnings, and adjusted segment margin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Organic sales growth (decline) is a non-GAAP financial measure of sales growth (decline) excluding the effects of acquisitions and divestitures and foreign exchange from year-over-year comparisons. We believe this measure provides investors with a supplemental understanding of underlying sales trends by providing sales growth (decline) on a consistent basis.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is a non-GAAP measure calculated as cash provided by operations less capital expenditures. We believe that free cash flow provides useful additional information concerning cash flow available to meet future debt service obligations and working capital requirements.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from GAAP measures to non-GAAP measures are provided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Earnings and Adjusted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earnings and diluted earnings per share to adjusted earnings (non-GAAP) and adjusted earnings per share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r>
      <w:tr>
        <w:trPr>
          <w:trHeight w:val="227"/>
        </w:trPr>
        <w:tc>
          <w:tcPr>
            <w:tcW w:w="5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(GAAP)</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 on above items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(non-GAAP)</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Diluted Earnings Per Share (GAAP)</w:t>
            </w:r>
            <w:r>
              <w:rPr>
                <w:rFonts w:ascii="Times New Roman" w:cs="Times New Roman" w:eastAsia="Times New Roman" w:hAnsi="Times New Roman"/>
                <w:sz w:val="23"/>
                <w:szCs w:val="23"/>
                <w:b w:val="1"/>
                <w:bCs w:val="1"/>
                <w:color w:val="auto"/>
                <w:vertAlign w:val="superscript"/>
              </w:rPr>
              <w:t>(1)</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175"/>
        </w:trPr>
        <w:tc>
          <w:tcPr>
            <w:tcW w:w="52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Restructuring and impairment expenses, per diluted share, before</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 on above items per diluted share</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Earnings Per Share (non-GAAP)</w:t>
            </w:r>
            <w:r>
              <w:rPr>
                <w:rFonts w:ascii="Times New Roman" w:cs="Times New Roman" w:eastAsia="Times New Roman" w:hAnsi="Times New Roman"/>
                <w:sz w:val="23"/>
                <w:szCs w:val="23"/>
                <w:b w:val="1"/>
                <w:bCs w:val="1"/>
                <w:color w:val="auto"/>
                <w:vertAlign w:val="superscript"/>
              </w:rPr>
              <w:t>(1)</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Earnings per share amounts are calculated discretely and, therefore, may not add up to the total due to rounding.</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34"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Growth (Decline)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net sales growth (decline):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6160" w:type="dxa"/>
            <w:vAlign w:val="bottom"/>
          </w:tcPr>
          <w:p>
            <w:pPr>
              <w:spacing w:after="0"/>
              <w:rPr>
                <w:sz w:val="24"/>
                <w:szCs w:val="24"/>
                <w:color w:val="auto"/>
              </w:rPr>
            </w:pPr>
          </w:p>
        </w:tc>
        <w:tc>
          <w:tcPr>
            <w:tcW w:w="406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color w:val="auto"/>
                <w:w w:val="99"/>
              </w:rPr>
              <w:t>Three Months Ended September 30, 2026</w:t>
            </w:r>
          </w:p>
        </w:tc>
        <w:tc>
          <w:tcPr>
            <w:tcW w:w="10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North America</w:t>
            </w:r>
          </w:p>
        </w:tc>
        <w:tc>
          <w:tcPr>
            <w:tcW w:w="23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8"/>
              </w:rPr>
              <w:t>Rest of World</w:t>
            </w: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Growth (Decline)</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6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Acquisition Impact</w:t>
            </w:r>
            <w:r>
              <w:rPr>
                <w:rFonts w:ascii="Times New Roman" w:cs="Times New Roman" w:eastAsia="Times New Roman" w:hAnsi="Times New Roman"/>
                <w:sz w:val="23"/>
                <w:szCs w:val="23"/>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Exchange Impact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Organic Sales Growth (Decline) (non-GAAP)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4"/>
        </w:trPr>
        <w:tc>
          <w:tcPr>
            <w:tcW w:w="6160" w:type="dxa"/>
            <w:vAlign w:val="bottom"/>
          </w:tcPr>
          <w:p>
            <w:pPr>
              <w:spacing w:after="0"/>
              <w:rPr>
                <w:sz w:val="24"/>
                <w:szCs w:val="24"/>
                <w:color w:val="auto"/>
              </w:rPr>
            </w:pPr>
          </w:p>
        </w:tc>
        <w:tc>
          <w:tcPr>
            <w:tcW w:w="4060" w:type="dxa"/>
            <w:vAlign w:val="bottom"/>
            <w:tcBorders>
              <w:bottom w:val="single" w:sz="8" w:color="auto"/>
            </w:tcBorders>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Nine Months Ended September 30, 2026</w:t>
            </w:r>
          </w:p>
        </w:tc>
        <w:tc>
          <w:tcPr>
            <w:tcW w:w="10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North America</w:t>
            </w:r>
          </w:p>
        </w:tc>
        <w:tc>
          <w:tcPr>
            <w:tcW w:w="23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8"/>
              </w:rPr>
              <w:t>Rest of World</w:t>
            </w: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Growth (Decline)</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16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Acquisition Impact</w:t>
            </w:r>
            <w:r>
              <w:rPr>
                <w:rFonts w:ascii="Times New Roman" w:cs="Times New Roman" w:eastAsia="Times New Roman" w:hAnsi="Times New Roman"/>
                <w:sz w:val="23"/>
                <w:szCs w:val="23"/>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Exchange Impact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Organic Sales Growth (Decline) (non-GAAP)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3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acquisition effect includes the net sales impact of the Leonard Valve acquisition in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Segment Earnings, Adjusted Segment Earnings, and Adjusted Segment Margin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reported earnings before provision for income taxes to total segment earnings (non-GAAP), adjusted segment earnings (non-GAAP), and adjusted segment margin (non-GAAP):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8"/>
                <w:szCs w:val="18"/>
                <w:color w:val="auto"/>
              </w:rPr>
            </w:pPr>
          </w:p>
        </w:tc>
        <w:tc>
          <w:tcPr>
            <w:tcW w:w="28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27"/>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 (GAAP)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554.5</w:t>
            </w: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Corporate expense</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 (non-GAAP)</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8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563.0</w:t>
            </w: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Inter-segment earnings elimination</w:t>
            </w:r>
          </w:p>
        </w:tc>
        <w:tc>
          <w:tcPr>
            <w:tcW w:w="3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Earnings (non-GAAP)</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North America Segment Earnings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563.0</w:t>
            </w: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North America Segment Earnings (non-GAAP)</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563.0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North America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761.6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2,335.5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2,270.5</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North America Segment Margin (non-GAAP)</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reported cash flow from operating activities to free cash flow (non-GAAP):</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7"/>
        </w:trPr>
        <w:tc>
          <w:tcPr>
            <w:tcW w:w="8440" w:type="dxa"/>
            <w:vAlign w:val="bottom"/>
          </w:tcPr>
          <w:p>
            <w:pPr>
              <w:spacing w:after="0"/>
              <w:rPr>
                <w:sz w:val="22"/>
                <w:szCs w:val="22"/>
                <w:color w:val="auto"/>
              </w:rPr>
            </w:pPr>
          </w:p>
        </w:tc>
        <w:tc>
          <w:tcPr>
            <w:tcW w:w="23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22"/>
                <w:szCs w:val="22"/>
                <w:color w:val="auto"/>
              </w:rPr>
            </w:pPr>
          </w:p>
        </w:tc>
      </w:tr>
      <w:tr>
        <w:trPr>
          <w:trHeight w:val="239"/>
        </w:trPr>
        <w:tc>
          <w:tcPr>
            <w:tcW w:w="8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r>
      <w:tr>
        <w:trPr>
          <w:trHeight w:val="227"/>
        </w:trPr>
        <w:tc>
          <w:tcPr>
            <w:tcW w:w="84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 (GAAP)</w:t>
            </w:r>
          </w:p>
        </w:tc>
        <w:tc>
          <w:tcPr>
            <w:tcW w:w="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433.7</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(53.2)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8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U.S., which requires the use of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 The critical accounting policies that we believe could have the most significant effect on our reported results or require complex judgment by management are contained in Item 7, Management’s Discussion and Analysis of Financial Condition and Results of Operations, of our Annual Report on Form 10-K for the year ended December 31, 2025. We believe that at September 30, 2026, there was no material change to this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Note 1 – Basis of Presentation in the notes to our condensed consolidated financial statements included in Part 1 Financial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filing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filing. Important factors that could cause actual results to differ materially from these expectations include, among other things, the following: further softening in U.S. residential and commercial water heater demand; further weakening in North American residential or commercial construction or instability in the Company’s replacement markets; the timing and effects of the China business transaction, including the possibility that the parties will fail to obtain necessary regulatory approvals or to satisfy any of the other conditions to the transaction; potential negative effects relating to the announcement of the China business transaction; failure to realize the expected benefits of the China business transaction;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 more detailed description of these risks is contained under the heading "Risk Factors" in the Company's Annual Report on Form 10-K for the year ended December 31, 2025. Forward-looking statements included in this filing are made only as of the date of this filing,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more fully described in our Annual Report on Form 10-K for the year ended December 31, 2025, we are exposed to various types of market risks, including currency and certain commodity risks. Our quantitative and qualitative disclosures about market risk have not materially changed since that report was filed. We monitor our currency and commodity risks on a continuous basis and generally enter into forward and futures contracts to minimize these exposures. The majority of the contracts are for periods of less than one year. Our Company does not engage in speculation in our derivative strategies. It is important to note that gains and losses from our forward and futures contract activities are offset by changes in the underlying costs of the transactions being hedged.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Securities Exchange Act of 1934, as amended (the Exchange Act). Based upon this evaluation of these disclosure controls and procedures, our principal executive officer and principal financial officer concluded that the disclosure controls and procedures were effective as of September 30, 2026 to ensure that information required to be disclosed by us in the reports we file or submit under the Exchange Act is recorded, processed, summarized and reported, within the time period specified in the SEC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 LEGAL PROCEEDINGS</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legal and environmental matters discussed in Part 1, Item 3 and Note 15 of the Notes to Consolidated Financial Statements in our Annual Report on Form 10-K for the year ended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quarter of 2026,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our Board of Directors which may occur at any time, subject to the parameters of any Rule 10b5-1 automatic trading plan that we may then have in effect. In the third quarter of 2026, we repurchased 1,598,303 shares at an average price of $61.44 per share and at a total cost of $98.2 million. As of September 30, 2026, there were 1,604,001 shares remaining on the existing repurchase authorization.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80" w:type="dxa"/>
            <w:vAlign w:val="bottom"/>
            <w:gridSpan w:val="7"/>
          </w:tcPr>
          <w:p>
            <w:pPr>
              <w:jc w:val="right"/>
              <w:ind w:right="1630"/>
              <w:spacing w:after="0"/>
              <w:rPr>
                <w:sz w:val="20"/>
                <w:szCs w:val="20"/>
                <w:color w:val="auto"/>
              </w:rPr>
            </w:pPr>
            <w:r>
              <w:rPr>
                <w:rFonts w:ascii="Times New Roman" w:cs="Times New Roman" w:eastAsia="Times New Roman" w:hAnsi="Times New Roman"/>
                <w:sz w:val="18"/>
                <w:szCs w:val="18"/>
                <w:color w:val="auto"/>
                <w:w w:val="99"/>
              </w:rPr>
              <w:t>ISSUER PURCHASES OF EQUITY SECURITIES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7"/>
                <w:szCs w:val="17"/>
                <w:color w:val="auto"/>
              </w:rPr>
            </w:pPr>
          </w:p>
        </w:tc>
        <w:tc>
          <w:tcPr>
            <w:tcW w:w="1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Maximum Number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9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00" w:type="dxa"/>
            <w:vAlign w:val="bottom"/>
          </w:tcPr>
          <w:p>
            <w:pPr>
              <w:spacing w:after="0"/>
              <w:rPr>
                <w:sz w:val="16"/>
                <w:szCs w:val="16"/>
                <w:color w:val="auto"/>
              </w:rPr>
            </w:pPr>
          </w:p>
        </w:tc>
        <w:tc>
          <w:tcPr>
            <w:tcW w:w="172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00" w:type="dxa"/>
            <w:vAlign w:val="bottom"/>
          </w:tcPr>
          <w:p>
            <w:pPr>
              <w:spacing w:after="0"/>
              <w:rPr>
                <w:sz w:val="16"/>
                <w:szCs w:val="16"/>
                <w:color w:val="auto"/>
              </w:rPr>
            </w:pPr>
          </w:p>
        </w:tc>
        <w:tc>
          <w:tcPr>
            <w:tcW w:w="1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Shares that may yet be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Publicly Announced</w:t>
            </w:r>
          </w:p>
        </w:tc>
        <w:tc>
          <w:tcPr>
            <w:tcW w:w="100" w:type="dxa"/>
            <w:vAlign w:val="bottom"/>
          </w:tcPr>
          <w:p>
            <w:pPr>
              <w:spacing w:after="0"/>
              <w:rPr>
                <w:sz w:val="15"/>
                <w:szCs w:val="15"/>
                <w:color w:val="auto"/>
              </w:rPr>
            </w:pPr>
          </w:p>
        </w:tc>
        <w:tc>
          <w:tcPr>
            <w:tcW w:w="19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Under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Purchased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16"/>
                <w:szCs w:val="16"/>
                <w:color w:val="auto"/>
              </w:rPr>
            </w:pPr>
          </w:p>
        </w:tc>
        <w:tc>
          <w:tcPr>
            <w:tcW w:w="17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Plans or Programs</w:t>
            </w:r>
          </w:p>
        </w:tc>
        <w:tc>
          <w:tcPr>
            <w:tcW w:w="100" w:type="dxa"/>
            <w:vAlign w:val="bottom"/>
          </w:tcPr>
          <w:p>
            <w:pPr>
              <w:spacing w:after="0"/>
              <w:rPr>
                <w:sz w:val="16"/>
                <w:szCs w:val="16"/>
                <w:color w:val="auto"/>
              </w:rPr>
            </w:pPr>
          </w:p>
        </w:tc>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Plans or Programs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 2026</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302,650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August 31, 2026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995,335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2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995,335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1,904,319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300,318</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1,598,303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1,598,303</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63" w:lineRule="exact"/>
        <w:rPr>
          <w:sz w:val="20"/>
          <w:szCs w:val="20"/>
          <w:color w:val="auto"/>
        </w:rPr>
      </w:pPr>
    </w:p>
    <w:p>
      <w:pPr>
        <w:ind w:firstLine="8"/>
        <w:spacing w:after="0" w:line="282" w:lineRule="auto"/>
        <w:tabs>
          <w:tab w:leader="none" w:pos="2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none of our directors or Section 16 officers adopted or terminated a “Rule 10b5-1 trading arrangement” or “non-Rule 10b5-1 trading arrangement,” as each term is defined in Item 408(a) of Regulation 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Exhibit Index on page 30 of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0" w:type="dxa"/>
            <w:vAlign w:val="bottom"/>
            <w:gridSpan w:val="7"/>
          </w:tcPr>
          <w:p>
            <w:pPr>
              <w:jc w:val="right"/>
              <w:ind w:right="24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7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6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w w:val="98"/>
              </w:rPr>
              <w:t>Number</w:t>
            </w:r>
          </w:p>
        </w:tc>
        <w:tc>
          <w:tcPr>
            <w:tcW w:w="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300" w:type="dxa"/>
            <w:vAlign w:val="bottom"/>
            <w:gridSpan w:val="5"/>
          </w:tcPr>
          <w:p>
            <w:pPr>
              <w:jc w:val="right"/>
              <w:ind w:right="2460"/>
              <w:spacing w:after="0" w:line="169" w:lineRule="exact"/>
              <w:rPr>
                <w:sz w:val="20"/>
                <w:szCs w:val="20"/>
                <w:color w:val="auto"/>
              </w:rPr>
            </w:pPr>
            <w:r>
              <w:rPr>
                <w:rFonts w:ascii="Times New Roman" w:cs="Times New Roman" w:eastAsia="Times New Roman" w:hAnsi="Times New Roman"/>
                <w:sz w:val="18"/>
                <w:szCs w:val="18"/>
                <w:color w:val="auto"/>
                <w:w w:val="97"/>
              </w:rPr>
              <w:t>Description</w:t>
            </w:r>
          </w:p>
        </w:tc>
      </w:tr>
      <w:tr>
        <w:trPr>
          <w:trHeight w:val="27"/>
        </w:trPr>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8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2"/>
                <w:szCs w:val="22"/>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2"/>
                <w:szCs w:val="22"/>
                <w:color w:val="auto"/>
              </w:rPr>
            </w:pPr>
          </w:p>
        </w:tc>
        <w:tc>
          <w:tcPr>
            <w:tcW w:w="7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Written Statement of the Chief Executive Officer Pursuant to 18 U.S.C. Section 1350</w:t>
            </w:r>
          </w:p>
        </w:tc>
        <w:tc>
          <w:tcPr>
            <w:tcW w:w="60" w:type="dxa"/>
            <w:vAlign w:val="bottom"/>
          </w:tcPr>
          <w:p>
            <w:pPr>
              <w:spacing w:after="0"/>
              <w:rPr>
                <w:sz w:val="22"/>
                <w:szCs w:val="22"/>
                <w:color w:val="auto"/>
              </w:rPr>
            </w:pP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2"/>
                <w:szCs w:val="22"/>
                <w:color w:val="auto"/>
              </w:rPr>
            </w:pPr>
          </w:p>
        </w:tc>
        <w:tc>
          <w:tcPr>
            <w:tcW w:w="61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Written Statement of the Chief Financial Officer Pursuant to 18 U.S.C. Section 1350</w:t>
            </w:r>
          </w:p>
        </w:tc>
        <w:tc>
          <w:tcPr>
            <w:tcW w:w="40" w:type="dxa"/>
            <w:vAlign w:val="bottom"/>
            <w:tcBorders>
              <w:top w:val="single" w:sz="8" w:color="0000FF"/>
            </w:tcBorders>
          </w:tcPr>
          <w:p>
            <w:pPr>
              <w:spacing w:after="0"/>
              <w:rPr>
                <w:sz w:val="22"/>
                <w:szCs w:val="22"/>
                <w:color w:val="auto"/>
              </w:rPr>
            </w:pPr>
          </w:p>
        </w:tc>
        <w:tc>
          <w:tcPr>
            <w:tcW w:w="1860" w:type="dxa"/>
            <w:vAlign w:val="bottom"/>
            <w:gridSpan w:val="2"/>
          </w:tcPr>
          <w:p>
            <w:pPr>
              <w:spacing w:after="0"/>
              <w:rPr>
                <w:sz w:val="22"/>
                <w:szCs w:val="22"/>
                <w:color w:val="auto"/>
              </w:rPr>
            </w:pPr>
          </w:p>
        </w:tc>
      </w:tr>
    </w:tbl>
    <w:p>
      <w:pPr>
        <w:spacing w:after="0" w:line="76" w:lineRule="exact"/>
        <w:rPr>
          <w:sz w:val="20"/>
          <w:szCs w:val="20"/>
          <w:color w:val="auto"/>
        </w:rPr>
      </w:pPr>
    </w:p>
    <w:p>
      <w:pPr>
        <w:jc w:val="both"/>
        <w:ind w:left="980" w:hanging="954"/>
        <w:spacing w:after="0" w:line="21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 O. Smith Corporation’s Quarterly Report on Form 10-Q for the quarter ended September 30, 2026 are filed herewith, formatted in XBRL (Extensive Business Reporting Language): (i) the Condensed Consolidated Statements of Earnings for the three and nine months ended September 30, 2026 and 2025, (ii) the Condensed Consolidated Statements of Comprehensive Earnings for the three and nine months ended September 30, 2026 and 2025, (iii) the Condensed Consolidated Balance Sheets as of September 30, 2026, and December 31, 2025, (iv) the Condensed Consolidated Statements of Cash Flows for the nine months ended September 30, 2026 and 2025, (v) the Condensed Consolidated Statements of Stockholders’ Equity for the three and nine months ended September 30, 2026 and 2025, (vi) the Notes to Condensed Consolidated Financial Statements, (vii) the information included in Part II, Item 5(c). The instance document does not appear in the interactive data file because its XBRL tags are embedded within the Inline XBRL document.</w:t>
      </w:r>
    </w:p>
    <w:p>
      <w:pPr>
        <w:spacing w:after="0" w:line="69" w:lineRule="exact"/>
        <w:rPr>
          <w:sz w:val="20"/>
          <w:szCs w:val="20"/>
          <w:color w:val="auto"/>
        </w:rPr>
      </w:pPr>
    </w:p>
    <w:p>
      <w:pPr>
        <w:ind w:left="980" w:hanging="95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 O. SMITH CORPORATION</w:t>
            </w:r>
          </w:p>
        </w:tc>
      </w:tr>
      <w:tr>
        <w:trPr>
          <w:trHeight w:val="49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2026</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A. Otchere</w:t>
            </w:r>
          </w:p>
        </w:tc>
      </w:tr>
      <w:tr>
        <w:trPr>
          <w:trHeight w:val="218"/>
        </w:trPr>
        <w:tc>
          <w:tcPr>
            <w:tcW w:w="636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A. Otchere</w:t>
            </w:r>
          </w:p>
        </w:tc>
      </w:tr>
      <w:tr>
        <w:trPr>
          <w:trHeight w:val="234"/>
        </w:trPr>
        <w:tc>
          <w:tcPr>
            <w:tcW w:w="636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99"/>
        </w:trPr>
        <w:tc>
          <w:tcPr>
            <w:tcW w:w="6360" w:type="dxa"/>
            <w:vAlign w:val="bottom"/>
          </w:tcPr>
          <w:p>
            <w:pPr>
              <w:spacing w:after="0"/>
              <w:rPr>
                <w:sz w:val="24"/>
                <w:szCs w:val="24"/>
                <w:color w:val="auto"/>
              </w:rPr>
            </w:pP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L. Anderson</w:t>
            </w:r>
          </w:p>
        </w:tc>
      </w:tr>
      <w:tr>
        <w:trPr>
          <w:trHeight w:val="218"/>
        </w:trPr>
        <w:tc>
          <w:tcPr>
            <w:tcW w:w="636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4"/>
        </w:trPr>
        <w:tc>
          <w:tcPr>
            <w:tcW w:w="636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M. Shafer, certify that:</w:t>
      </w:r>
    </w:p>
    <w:p>
      <w:pPr>
        <w:spacing w:after="0" w:line="117"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 O. Smith Corporation;</w:t>
      </w:r>
    </w:p>
    <w:p>
      <w:pPr>
        <w:spacing w:after="0" w:line="117" w:lineRule="exact"/>
        <w:rPr>
          <w:rFonts w:ascii="Times New Roman" w:cs="Times New Roman" w:eastAsia="Times New Roman" w:hAnsi="Times New Roman"/>
          <w:sz w:val="18"/>
          <w:szCs w:val="18"/>
          <w:color w:val="auto"/>
        </w:rPr>
      </w:pPr>
    </w:p>
    <w:p>
      <w:pPr>
        <w:jc w:val="both"/>
        <w:ind w:left="500" w:right="22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2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00" w:hanging="486"/>
        <w:spacing w:after="0" w:line="266"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480" w:hanging="486"/>
        <w:spacing w:after="0" w:line="312" w:lineRule="auto"/>
        <w:tabs>
          <w:tab w:leader="none" w:pos="97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8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8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M.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83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M. Shafer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180"/>
          </w:cols>
          <w:pgMar w:left="320" w:top="88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 O. Smith Corporation;</w:t>
      </w:r>
    </w:p>
    <w:p>
      <w:pPr>
        <w:spacing w:after="0" w:line="117" w:lineRule="exact"/>
        <w:rPr>
          <w:rFonts w:ascii="Times New Roman" w:cs="Times New Roman" w:eastAsia="Times New Roman" w:hAnsi="Times New Roman"/>
          <w:sz w:val="18"/>
          <w:szCs w:val="18"/>
          <w:color w:val="auto"/>
        </w:rPr>
      </w:pPr>
    </w:p>
    <w:p>
      <w:pPr>
        <w:ind w:left="500" w:right="200" w:hanging="492"/>
        <w:spacing w:after="0" w:line="266" w:lineRule="auto"/>
        <w:tabs>
          <w:tab w:leader="none" w:pos="3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3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180" w:hanging="492"/>
        <w:spacing w:after="0" w:line="266"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40" w:hanging="486"/>
        <w:spacing w:after="0" w:line="266" w:lineRule="auto"/>
        <w:tabs>
          <w:tab w:leader="none" w:pos="81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260" w:hanging="486"/>
        <w:spacing w:after="0" w:line="266" w:lineRule="auto"/>
        <w:tabs>
          <w:tab w:leader="none" w:pos="8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440" w:hanging="486"/>
        <w:spacing w:after="0" w:line="312" w:lineRule="auto"/>
        <w:tabs>
          <w:tab w:leader="none" w:pos="81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40" w:hanging="486"/>
        <w:spacing w:after="0" w:line="266" w:lineRule="auto"/>
        <w:tabs>
          <w:tab w:leader="none" w:pos="8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8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81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20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140"/>
          </w:cols>
          <w:pgMar w:left="320" w:top="887"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Written Statement of the Chief Executive Officer Pursuant to 18 U.S.C. Section 1350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the undersigned certifies that to the best of my knowledge:</w:t>
      </w:r>
    </w:p>
    <w:p>
      <w:pPr>
        <w:spacing w:after="0" w:line="117" w:lineRule="exact"/>
        <w:rPr>
          <w:sz w:val="20"/>
          <w:szCs w:val="20"/>
          <w:color w:val="auto"/>
        </w:rPr>
      </w:pPr>
    </w:p>
    <w:p>
      <w:pPr>
        <w:ind w:left="500" w:hanging="492"/>
        <w:spacing w:after="0" w:line="282"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 O. Smith Corporation for the quarter ended September 30, 2026 (the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 O. Smith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M.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708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M. Shafer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0880"/>
          </w:cols>
          <w:pgMar w:left="320" w:top="887"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Written Statement of the Chief Financial Officer Pursuant to 18 U.S.C. Section 1350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the undersigned certifies that to the best of my knowledge:</w:t>
      </w:r>
    </w:p>
    <w:p>
      <w:pPr>
        <w:spacing w:after="0" w:line="117" w:lineRule="exact"/>
        <w:rPr>
          <w:sz w:val="20"/>
          <w:szCs w:val="20"/>
          <w:color w:val="auto"/>
        </w:rPr>
      </w:pPr>
    </w:p>
    <w:p>
      <w:pPr>
        <w:ind w:left="500" w:hanging="492"/>
        <w:spacing w:after="0" w:line="282" w:lineRule="auto"/>
        <w:tabs>
          <w:tab w:leader="none" w:pos="4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 O. Smith Corporation for the quarter ended September 30, 2026 (the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 O. Smith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71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0880"/>
      </w:cols>
      <w:pgMar w:left="320" w:top="88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2026-10-29T13:50:49Z</dcterms:created>
  <dcterms:modified xsi:type="dcterms:W3CDTF">2026-10-29T13:50:49Z</dcterms:modified>
</cp:coreProperties>
</file>