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__________ to __________</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Commission File Number 1-475</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________________________________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A. O. Smith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360"/>
        <w:jc w:val="center"/>
        <w:rPr>
          <w:rFonts w:ascii="Times New Roman;serif" w:hAnsi="Times New Roman;serif"/>
          <w:b/>
          <w:color w:val="000000"/>
          <w:sz w:val="16"/>
        </w:rPr>
      </w:pPr>
      <w:r>
        <w:rPr>
          <w:rFonts w:ascii="Times New Roman;serif" w:hAnsi="Times New Roman;serif"/>
          <w:b/>
          <w:color w:val="000000"/>
          <w:sz w:val="16"/>
        </w:rPr>
        <w:t>(State of Incorporation)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11270 West Park Place, Milwaukee, Wisconsin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39-0619790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Identification No.)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53224-9508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pPr>
      <w:r>
        <w:rPr>
          <w:rFonts w:ascii="Times New Roman;serif" w:hAnsi="Times New Roman;serif"/>
          <w:b/>
          <w:color w:val="000000"/>
          <w:sz w:val="16"/>
        </w:rPr>
        <w:t>(414) 359-4000</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w:t>
      </w:r>
    </w:p>
    <w:p>
      <w:pPr>
        <w:pStyle w:val="TextBody"/>
        <w:bidi w:val="0"/>
        <w:spacing w:lineRule="auto" w:line="288" w:before="200" w:after="283"/>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6683" w:type="dxa"/>
        <w:jc w:val="left"/>
        <w:tblInd w:w="0" w:type="dxa"/>
        <w:tblLayout w:type="fixed"/>
        <w:tblCellMar>
          <w:top w:w="28" w:type="dxa"/>
          <w:left w:w="28" w:type="dxa"/>
          <w:bottom w:w="28" w:type="dxa"/>
          <w:right w:w="28" w:type="dxa"/>
        </w:tblCellMar>
      </w:tblPr>
      <w:tblGrid>
        <w:gridCol w:w="1174"/>
        <w:gridCol w:w="1037"/>
        <w:gridCol w:w="1043"/>
        <w:gridCol w:w="109"/>
        <w:gridCol w:w="109"/>
        <w:gridCol w:w="109"/>
        <w:gridCol w:w="230"/>
        <w:gridCol w:w="230"/>
        <w:gridCol w:w="231"/>
        <w:gridCol w:w="109"/>
        <w:gridCol w:w="109"/>
        <w:gridCol w:w="109"/>
        <w:gridCol w:w="610"/>
        <w:gridCol w:w="610"/>
        <w:gridCol w:w="864"/>
      </w:tblGrid>
      <w:tr>
        <w:trPr/>
        <w:tc>
          <w:tcPr>
            <w:tcW w:w="117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$1.00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80" w:after="283"/>
        <w:jc w:val="left"/>
        <w:rPr/>
      </w:pPr>
      <w:r>
        <w:rPr>
          <w:rFonts w:ascii="Times New Roman;serif" w:hAnsi="Times New Roman;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9"/>
        </w:rPr>
        <w:t xml:space="preserve">Yes </w:t>
      </w:r>
      <w:r>
        <w:rPr>
          <w:rFonts w:ascii="Wingdings;sans-serif" w:hAnsi="Wingdings;sans-serif"/>
          <w:b w:val="false"/>
          <w:color w:val="000000"/>
          <w:sz w:val="19"/>
        </w:rPr>
        <w:t>o</w:t>
      </w:r>
      <w:r>
        <w:rPr>
          <w:color w:val="000000"/>
        </w:rPr>
        <w:t xml:space="preserve"> </w:t>
      </w:r>
      <w:r>
        <w:rPr>
          <w:rFonts w:ascii="Times New Roman;serif" w:hAnsi="Times New Roman;serif"/>
          <w:b w:val="false"/>
          <w:color w:val="000000"/>
          <w:sz w:val="19"/>
        </w:rPr>
        <w:t xml:space="preserve">No </w:t>
      </w:r>
    </w:p>
    <w:p>
      <w:pPr>
        <w:pStyle w:val="TextBody"/>
        <w:bidi w:val="0"/>
        <w:spacing w:lineRule="auto" w:line="288" w:before="180" w:after="283"/>
        <w:jc w:val="left"/>
        <w:rPr/>
      </w:pPr>
      <w:r>
        <w:rPr>
          <w:rFonts w:ascii="Times New Roman;serif" w:hAnsi="Times New Roman;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9"/>
        </w:rPr>
        <w:t xml:space="preserve">Yes </w:t>
      </w:r>
      <w:r>
        <w:rPr>
          <w:rFonts w:ascii="Wingdings;sans-serif" w:hAnsi="Wingdings;sans-serif"/>
          <w:b w:val="false"/>
          <w:color w:val="000000"/>
          <w:sz w:val="19"/>
        </w:rPr>
        <w:t>o</w:t>
      </w:r>
      <w:r>
        <w:rPr>
          <w:color w:val="000000"/>
        </w:rPr>
        <w:t xml:space="preserve"> </w:t>
      </w:r>
      <w:r>
        <w:rPr>
          <w:rFonts w:ascii="Times New Roman;serif" w:hAnsi="Times New Roman;serif"/>
          <w:b w:val="false"/>
          <w:color w:val="000000"/>
          <w:sz w:val="19"/>
        </w:rPr>
        <w:t xml:space="preserve">No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 w:after="283"/>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19"/>
        </w:rPr>
        <w:t>Indicate by check mark whether the registrant is a shell company (as defined in Rule 12b-2 of the Act.)</w:t>
      </w:r>
      <w:r>
        <w:rPr>
          <w:color w:val="000000"/>
        </w:rPr>
        <w:t xml:space="preserve"> ☐ </w:t>
      </w:r>
      <w:r>
        <w:rPr>
          <w:rFonts w:ascii="Times New Roman;serif" w:hAnsi="Times New Roman;serif"/>
          <w:b w:val="false"/>
          <w:color w:val="000000"/>
          <w:sz w:val="19"/>
        </w:rPr>
        <w:t>Yes</w:t>
      </w:r>
      <w:r>
        <w:rPr>
          <w:color w:val="000000"/>
        </w:rPr>
        <w:t xml:space="preserve"> ☒ </w:t>
      </w:r>
      <w:r>
        <w:rPr>
          <w:rFonts w:ascii="Times New Roman;serif" w:hAnsi="Times New Roman;serif"/>
          <w:b w:val="false"/>
          <w:color w:val="000000"/>
          <w:sz w:val="19"/>
        </w:rPr>
        <w:t>No</w:t>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Class A Common Stock Outstanding as of July 28, 2026 - 25,861,359 shares </w:t>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Common Stock Outstanding as of July 28, 2026 - 110,047,214 shares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 O. Smith Corporation</w:t>
      </w:r>
    </w:p>
    <w:tbl>
      <w:tblPr>
        <w:tblW w:w="10205" w:type="dxa"/>
        <w:jc w:val="left"/>
        <w:tblInd w:w="0" w:type="dxa"/>
        <w:tblLayout w:type="fixed"/>
        <w:tblCellMar>
          <w:top w:w="28" w:type="dxa"/>
          <w:left w:w="28" w:type="dxa"/>
          <w:bottom w:w="28" w:type="dxa"/>
          <w:right w:w="28" w:type="dxa"/>
        </w:tblCellMar>
      </w:tblPr>
      <w:tblGrid>
        <w:gridCol w:w="265"/>
        <w:gridCol w:w="234"/>
        <w:gridCol w:w="237"/>
        <w:gridCol w:w="2949"/>
        <w:gridCol w:w="2949"/>
        <w:gridCol w:w="2955"/>
        <w:gridCol w:w="178"/>
        <w:gridCol w:w="178"/>
        <w:gridCol w:w="260"/>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3">
              <w:r>
                <w:rPr>
                  <w:rStyle w:val="InternetLink"/>
                  <w:rFonts w:ascii="Times New Roman;serif" w:hAnsi="Times New Roman;serif"/>
                  <w:b/>
                  <w:strike w:val="false"/>
                  <w:dstrike w:val="false"/>
                  <w:color w:val="000000"/>
                  <w:sz w:val="20"/>
                  <w:u w:val="none"/>
                  <w:effect w:val="none"/>
                </w:rPr>
                <w:t>Part I.</w:t>
              </w:r>
            </w:hyperlink>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3">
              <w:r>
                <w:rPr>
                  <w:rStyle w:val="InternetLink"/>
                  <w:rFonts w:ascii="Times New Roman;serif" w:hAnsi="Times New Roman;serif"/>
                  <w:b w:val="false"/>
                  <w:color w:val="0000FF"/>
                  <w:sz w:val="20"/>
                  <w:u w:val="single"/>
                </w:rPr>
                <w:t>FINANCIAL INFORMATION</w:t>
              </w:r>
            </w:hyperlink>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6">
              <w:r>
                <w:rPr>
                  <w:rStyle w:val="InternetLink"/>
                  <w:rFonts w:ascii="Times New Roman;serif" w:hAnsi="Times New Roman;serif"/>
                  <w:b w:val="false"/>
                  <w:color w:val="000080"/>
                  <w:sz w:val="20"/>
                  <w:u w:val="single"/>
                </w:rPr>
                <w:t xml:space="preserve">Condensed Consolidated Statements of Earnings - Three </w:t>
              </w:r>
            </w:hyperlink>
            <w:hyperlink w:anchor="idce0c416f94d4a419612cc9525f86bbf_16">
              <w:r>
                <w:rPr>
                  <w:rStyle w:val="InternetLink"/>
                  <w:rFonts w:ascii="Times New Roman;serif" w:hAnsi="Times New Roman;serif"/>
                  <w:b w:val="false"/>
                  <w:color w:val="000080"/>
                  <w:sz w:val="20"/>
                  <w:u w:val="single"/>
                </w:rPr>
                <w:t xml:space="preserve">and Six </w:t>
              </w:r>
            </w:hyperlink>
            <w:hyperlink w:anchor="idce0c416f94d4a419612cc9525f86bbf_16">
              <w:r>
                <w:rPr>
                  <w:rStyle w:val="InternetLink"/>
                  <w:rFonts w:ascii="Times New Roman;serif" w:hAnsi="Times New Roman;serif"/>
                  <w:b w:val="false"/>
                  <w:color w:val="000080"/>
                  <w:sz w:val="20"/>
                  <w:u w:val="single"/>
                </w:rPr>
                <w:t xml:space="preserve">Months Ended </w:t>
              </w:r>
            </w:hyperlink>
            <w:hyperlink w:anchor="idce0c416f94d4a419612cc9525f86bbf_16">
              <w:r>
                <w:rPr>
                  <w:rStyle w:val="InternetLink"/>
                  <w:rFonts w:ascii="Times New Roman;serif" w:hAnsi="Times New Roman;serif"/>
                  <w:b w:val="false"/>
                  <w:color w:val="000080"/>
                  <w:sz w:val="20"/>
                  <w:u w:val="single"/>
                </w:rPr>
                <w:t>June 30</w:t>
              </w:r>
            </w:hyperlink>
            <w:hyperlink w:anchor="idce0c416f94d4a419612cc9525f86bbf_16">
              <w:r>
                <w:rPr>
                  <w:rStyle w:val="InternetLink"/>
                  <w:rFonts w:ascii="Times New Roman;serif" w:hAnsi="Times New Roman;serif"/>
                  <w:b w:val="false"/>
                  <w:color w:val="000080"/>
                  <w:sz w:val="20"/>
                  <w:u w:val="single"/>
                </w:rPr>
                <w:t>, 2026 and 2025</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16">
              <w:r>
                <w:rPr>
                  <w:rStyle w:val="InternetLink"/>
                  <w:rFonts w:ascii="Times New Roman;serif" w:hAnsi="Times New Roman;serif"/>
                  <w:b w:val="false"/>
                  <w:strike w:val="false"/>
                  <w:dstrike w:val="false"/>
                  <w:color w:val="000000"/>
                  <w:sz w:val="20"/>
                  <w:u w:val="none"/>
                  <w:effect w:val="none"/>
                </w:rPr>
                <w:t>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9">
              <w:r>
                <w:rPr>
                  <w:rStyle w:val="InternetLink"/>
                  <w:rFonts w:ascii="Times New Roman;serif" w:hAnsi="Times New Roman;serif"/>
                  <w:b w:val="false"/>
                  <w:color w:val="000080"/>
                  <w:sz w:val="20"/>
                  <w:u w:val="single"/>
                </w:rPr>
                <w:t xml:space="preserve">Condensed Consolidated Statements of Comprehensive Earnings - </w:t>
              </w:r>
            </w:hyperlink>
            <w:hyperlink w:anchor="idce0c416f94d4a419612cc9525f86bbf_16">
              <w:r>
                <w:rPr>
                  <w:rStyle w:val="InternetLink"/>
                  <w:rFonts w:ascii="Times New Roman;serif" w:hAnsi="Times New Roman;serif"/>
                  <w:b w:val="false"/>
                  <w:color w:val="000080"/>
                  <w:sz w:val="20"/>
                  <w:u w:val="single"/>
                </w:rPr>
                <w:t>Three and Six Months Ended June 30, 2026 and 2025</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19">
              <w:r>
                <w:rPr>
                  <w:rStyle w:val="InternetLink"/>
                  <w:rFonts w:ascii="Times New Roman;serif" w:hAnsi="Times New Roman;serif"/>
                  <w:b w:val="false"/>
                  <w:strike w:val="false"/>
                  <w:dstrike w:val="false"/>
                  <w:color w:val="000000"/>
                  <w:sz w:val="20"/>
                  <w:u w:val="none"/>
                  <w:effect w:val="none"/>
                </w:rPr>
                <w:t>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22">
              <w:r>
                <w:rPr>
                  <w:rStyle w:val="InternetLink"/>
                  <w:rFonts w:ascii="Times New Roman;serif" w:hAnsi="Times New Roman;serif"/>
                  <w:b w:val="false"/>
                  <w:color w:val="000080"/>
                  <w:sz w:val="20"/>
                  <w:u w:val="single"/>
                </w:rPr>
                <w:t xml:space="preserve">Condensed Consolidated Balance Sheets - </w:t>
              </w:r>
            </w:hyperlink>
            <w:hyperlink w:anchor="idce0c416f94d4a419612cc9525f86bbf_22">
              <w:r>
                <w:rPr>
                  <w:rStyle w:val="InternetLink"/>
                  <w:rFonts w:ascii="Times New Roman;serif" w:hAnsi="Times New Roman;serif"/>
                  <w:b w:val="false"/>
                  <w:color w:val="000080"/>
                  <w:sz w:val="20"/>
                  <w:u w:val="single"/>
                </w:rPr>
                <w:t>June 30</w:t>
              </w:r>
            </w:hyperlink>
            <w:hyperlink w:anchor="idce0c416f94d4a419612cc9525f86bbf_22">
              <w:r>
                <w:rPr>
                  <w:rStyle w:val="InternetLink"/>
                  <w:rFonts w:ascii="Times New Roman;serif" w:hAnsi="Times New Roman;serif"/>
                  <w:b w:val="false"/>
                  <w:color w:val="000080"/>
                  <w:sz w:val="20"/>
                  <w:u w:val="single"/>
                </w:rPr>
                <w:t>, 2026 and December 31, 2025</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22">
              <w:r>
                <w:rPr>
                  <w:rStyle w:val="InternetLink"/>
                  <w:rFonts w:ascii="Times New Roman;serif" w:hAnsi="Times New Roman;serif"/>
                  <w:b w:val="false"/>
                  <w:strike w:val="false"/>
                  <w:dstrike w:val="false"/>
                  <w:color w:val="000000"/>
                  <w:sz w:val="20"/>
                  <w:u w:val="none"/>
                  <w:effect w:val="none"/>
                </w:rPr>
                <w:t>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25">
              <w:r>
                <w:rPr>
                  <w:rStyle w:val="InternetLink"/>
                  <w:rFonts w:ascii="Times New Roman;serif" w:hAnsi="Times New Roman;serif"/>
                  <w:b w:val="false"/>
                  <w:color w:val="000080"/>
                  <w:sz w:val="20"/>
                  <w:u w:val="single"/>
                </w:rPr>
                <w:t xml:space="preserve">Condensed Consolidated Statements of Cash Flows - </w:t>
              </w:r>
            </w:hyperlink>
            <w:hyperlink w:anchor="idce0c416f94d4a419612cc9525f86bbf_25">
              <w:r>
                <w:rPr>
                  <w:rStyle w:val="InternetLink"/>
                  <w:rFonts w:ascii="Times New Roman;serif" w:hAnsi="Times New Roman;serif"/>
                  <w:b w:val="false"/>
                  <w:color w:val="000080"/>
                  <w:sz w:val="20"/>
                  <w:u w:val="single"/>
                </w:rPr>
                <w:t>Six</w:t>
              </w:r>
            </w:hyperlink>
            <w:hyperlink w:anchor="idce0c416f94d4a419612cc9525f86bbf_25">
              <w:r>
                <w:rPr>
                  <w:rStyle w:val="InternetLink"/>
                  <w:rFonts w:ascii="Times New Roman;serif" w:hAnsi="Times New Roman;serif"/>
                  <w:b w:val="false"/>
                  <w:color w:val="000080"/>
                  <w:sz w:val="20"/>
                  <w:u w:val="single"/>
                </w:rPr>
                <w:t xml:space="preserve"> Months Ended </w:t>
              </w:r>
            </w:hyperlink>
            <w:hyperlink w:anchor="idce0c416f94d4a419612cc9525f86bbf_25">
              <w:r>
                <w:rPr>
                  <w:rStyle w:val="InternetLink"/>
                  <w:rFonts w:ascii="Times New Roman;serif" w:hAnsi="Times New Roman;serif"/>
                  <w:b w:val="false"/>
                  <w:color w:val="000080"/>
                  <w:sz w:val="20"/>
                  <w:u w:val="single"/>
                </w:rPr>
                <w:t>June 30</w:t>
              </w:r>
            </w:hyperlink>
            <w:hyperlink w:anchor="idce0c416f94d4a419612cc9525f86bbf_25">
              <w:r>
                <w:rPr>
                  <w:rStyle w:val="InternetLink"/>
                  <w:rFonts w:ascii="Times New Roman;serif" w:hAnsi="Times New Roman;serif"/>
                  <w:b w:val="false"/>
                  <w:color w:val="000080"/>
                  <w:sz w:val="20"/>
                  <w:u w:val="single"/>
                </w:rPr>
                <w:t>, 2026 and 2025</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25">
              <w:r>
                <w:rPr>
                  <w:rStyle w:val="InternetLink"/>
                  <w:rFonts w:ascii="Times New Roman;serif" w:hAnsi="Times New Roman;serif"/>
                  <w:b w:val="false"/>
                  <w:strike w:val="false"/>
                  <w:dstrike w:val="false"/>
                  <w:color w:val="000000"/>
                  <w:sz w:val="20"/>
                  <w:u w:val="none"/>
                  <w:effect w:val="none"/>
                </w:rPr>
                <w:t>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28">
              <w:r>
                <w:rPr>
                  <w:rStyle w:val="InternetLink"/>
                  <w:rFonts w:ascii="Times New Roman;serif" w:hAnsi="Times New Roman;serif"/>
                  <w:b w:val="false"/>
                  <w:color w:val="000080"/>
                  <w:sz w:val="20"/>
                  <w:u w:val="single"/>
                </w:rPr>
                <w:t xml:space="preserve">Condensed Consolidated Statements of Stockholders’ Equity - Three </w:t>
              </w:r>
            </w:hyperlink>
            <w:hyperlink w:anchor="idce0c416f94d4a419612cc9525f86bbf_28">
              <w:r>
                <w:rPr>
                  <w:rStyle w:val="InternetLink"/>
                  <w:rFonts w:ascii="Times New Roman;serif" w:hAnsi="Times New Roman;serif"/>
                  <w:b w:val="false"/>
                  <w:color w:val="000080"/>
                  <w:sz w:val="20"/>
                  <w:u w:val="single"/>
                </w:rPr>
                <w:t xml:space="preserve">and Six </w:t>
              </w:r>
            </w:hyperlink>
            <w:hyperlink w:anchor="idce0c416f94d4a419612cc9525f86bbf_28">
              <w:r>
                <w:rPr>
                  <w:rStyle w:val="InternetLink"/>
                  <w:rFonts w:ascii="Times New Roman;serif" w:hAnsi="Times New Roman;serif"/>
                  <w:b w:val="false"/>
                  <w:color w:val="000080"/>
                  <w:sz w:val="20"/>
                  <w:u w:val="single"/>
                </w:rPr>
                <w:t xml:space="preserve">Months Ended </w:t>
              </w:r>
            </w:hyperlink>
            <w:hyperlink w:anchor="idce0c416f94d4a419612cc9525f86bbf_28">
              <w:r>
                <w:rPr>
                  <w:rStyle w:val="InternetLink"/>
                  <w:rFonts w:ascii="Times New Roman;serif" w:hAnsi="Times New Roman;serif"/>
                  <w:b w:val="false"/>
                  <w:color w:val="000080"/>
                  <w:sz w:val="20"/>
                  <w:u w:val="single"/>
                </w:rPr>
                <w:t>June</w:t>
              </w:r>
            </w:hyperlink>
            <w:hyperlink w:anchor="idce0c416f94d4a419612cc9525f86bbf_28">
              <w:r>
                <w:rPr>
                  <w:rStyle w:val="InternetLink"/>
                  <w:rFonts w:ascii="Times New Roman;serif" w:hAnsi="Times New Roman;serif"/>
                  <w:b w:val="false"/>
                  <w:color w:val="000080"/>
                  <w:sz w:val="20"/>
                  <w:u w:val="single"/>
                </w:rPr>
                <w:t xml:space="preserve"> 3</w:t>
              </w:r>
            </w:hyperlink>
            <w:hyperlink w:anchor="idce0c416f94d4a419612cc9525f86bbf_28">
              <w:r>
                <w:rPr>
                  <w:rStyle w:val="InternetLink"/>
                  <w:rFonts w:ascii="Times New Roman;serif" w:hAnsi="Times New Roman;serif"/>
                  <w:b w:val="false"/>
                  <w:color w:val="000080"/>
                  <w:sz w:val="20"/>
                  <w:u w:val="single"/>
                </w:rPr>
                <w:t>0</w:t>
              </w:r>
            </w:hyperlink>
            <w:hyperlink w:anchor="idce0c416f94d4a419612cc9525f86bbf_28">
              <w:r>
                <w:rPr>
                  <w:rStyle w:val="InternetLink"/>
                  <w:rFonts w:ascii="Times New Roman;serif" w:hAnsi="Times New Roman;serif"/>
                  <w:b w:val="false"/>
                  <w:color w:val="000080"/>
                  <w:sz w:val="20"/>
                  <w:u w:val="single"/>
                </w:rPr>
                <w:t>, 2026 and 2025</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28">
              <w:r>
                <w:rPr>
                  <w:rStyle w:val="InternetLink"/>
                  <w:rFonts w:ascii="Times New Roman;serif" w:hAnsi="Times New Roman;serif"/>
                  <w:b w:val="false"/>
                  <w:strike w:val="false"/>
                  <w:dstrike w:val="false"/>
                  <w:color w:val="000000"/>
                  <w:sz w:val="20"/>
                  <w:u w:val="none"/>
                  <w:effect w:val="none"/>
                </w:rPr>
                <w:t>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31">
              <w:r>
                <w:rPr>
                  <w:rStyle w:val="InternetLink"/>
                  <w:rFonts w:ascii="Times New Roman;serif" w:hAnsi="Times New Roman;serif"/>
                  <w:b w:val="false"/>
                  <w:color w:val="000080"/>
                  <w:sz w:val="20"/>
                  <w:u w:val="single"/>
                </w:rPr>
                <w:t xml:space="preserve">Notes to Condensed Consolidated Financial Statements - </w:t>
              </w:r>
            </w:hyperlink>
            <w:hyperlink w:anchor="idce0c416f94d4a419612cc9525f86bbf_31">
              <w:r>
                <w:rPr>
                  <w:rStyle w:val="InternetLink"/>
                  <w:rFonts w:ascii="Times New Roman;serif" w:hAnsi="Times New Roman;serif"/>
                  <w:b w:val="false"/>
                  <w:color w:val="000080"/>
                  <w:sz w:val="20"/>
                  <w:u w:val="single"/>
                </w:rPr>
                <w:t>June 30</w:t>
              </w:r>
            </w:hyperlink>
            <w:hyperlink w:anchor="idce0c416f94d4a419612cc9525f86bbf_31">
              <w:r>
                <w:rPr>
                  <w:rStyle w:val="InternetLink"/>
                  <w:rFonts w:ascii="Times New Roman;serif" w:hAnsi="Times New Roman;serif"/>
                  <w:b w:val="false"/>
                  <w:color w:val="000080"/>
                  <w:sz w:val="20"/>
                  <w:u w:val="single"/>
                </w:rPr>
                <w:t>, 2026</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31">
              <w:r>
                <w:rPr>
                  <w:rStyle w:val="InternetLink"/>
                  <w:rFonts w:ascii="Times New Roman;serif" w:hAnsi="Times New Roman;serif"/>
                  <w:b w:val="false"/>
                  <w:strike w:val="false"/>
                  <w:dstrike w:val="false"/>
                  <w:color w:val="000000"/>
                  <w:sz w:val="20"/>
                  <w:u w:val="none"/>
                  <w:effect w:val="none"/>
                </w:rPr>
                <w:t>7</w:t>
              </w:r>
            </w:hyperlink>
            <w:r>
              <w:rPr>
                <w:rFonts w:ascii="Times New Roman;serif" w:hAnsi="Times New Roman;serif"/>
                <w:b w:val="false"/>
                <w:color w:val="000000"/>
                <w:sz w:val="20"/>
              </w:rPr>
              <w:t>-19</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85">
              <w:r>
                <w:rPr>
                  <w:rStyle w:val="InternetLink"/>
                  <w:rFonts w:ascii="Times New Roman;serif" w:hAnsi="Times New Roman;serif"/>
                  <w:b w:val="false"/>
                  <w:strike w:val="false"/>
                  <w:dstrike w:val="false"/>
                  <w:color w:val="000000"/>
                  <w:sz w:val="20"/>
                  <w:u w:val="none"/>
                  <w:effect w:val="none"/>
                </w:rPr>
                <w:t>Item 2.</w:t>
              </w:r>
            </w:hyperlink>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85">
              <w:r>
                <w:rPr>
                  <w:rStyle w:val="InternetLink"/>
                  <w:rFonts w:ascii="Times New Roman;serif" w:hAnsi="Times New Roman;serif"/>
                  <w:b w:val="false"/>
                  <w:strike w:val="false"/>
                  <w:dstrike w:val="false"/>
                  <w:color w:val="000000"/>
                  <w:sz w:val="20"/>
                  <w:u w:val="none"/>
                  <w:effect w:val="none"/>
                </w:rPr>
                <w:t>20</w:t>
              </w:r>
            </w:hyperlink>
            <w:r>
              <w:rPr>
                <w:rFonts w:ascii="Times New Roman;serif" w:hAnsi="Times New Roman;serif"/>
                <w:b w:val="false"/>
                <w:color w:val="000000"/>
                <w:sz w:val="20"/>
              </w:rPr>
              <w:t>-28</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12">
              <w:r>
                <w:rPr>
                  <w:rStyle w:val="InternetLink"/>
                  <w:rFonts w:ascii="Times New Roman;serif" w:hAnsi="Times New Roman;serif"/>
                  <w:b w:val="false"/>
                  <w:strike w:val="false"/>
                  <w:dstrike w:val="false"/>
                  <w:color w:val="000000"/>
                  <w:sz w:val="20"/>
                  <w:u w:val="none"/>
                  <w:effect w:val="none"/>
                </w:rPr>
                <w:t>Item 3.</w:t>
              </w:r>
            </w:hyperlink>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12">
              <w:r>
                <w:rPr>
                  <w:rStyle w:val="InternetLink"/>
                  <w:rFonts w:ascii="Times New Roman;serif" w:hAnsi="Times New Roman;serif"/>
                  <w:b w:val="false"/>
                  <w:color w:val="0000FF"/>
                  <w:sz w:val="20"/>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112">
              <w:r>
                <w:rPr>
                  <w:rStyle w:val="InternetLink"/>
                  <w:rFonts w:ascii="Times New Roman;serif" w:hAnsi="Times New Roman;serif"/>
                  <w:b w:val="false"/>
                  <w:strike w:val="false"/>
                  <w:dstrike w:val="false"/>
                  <w:color w:val="000000"/>
                  <w:sz w:val="20"/>
                  <w:u w:val="none"/>
                  <w:effect w:val="none"/>
                </w:rPr>
                <w:t>28</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15">
              <w:r>
                <w:rPr>
                  <w:rStyle w:val="InternetLink"/>
                  <w:rFonts w:ascii="Times New Roman;serif" w:hAnsi="Times New Roman;serif"/>
                  <w:b w:val="false"/>
                  <w:strike w:val="false"/>
                  <w:dstrike w:val="false"/>
                  <w:color w:val="000000"/>
                  <w:sz w:val="20"/>
                  <w:u w:val="none"/>
                  <w:effect w:val="none"/>
                </w:rPr>
                <w:t>Item 4.</w:t>
              </w:r>
            </w:hyperlink>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15">
              <w:r>
                <w:rPr>
                  <w:rStyle w:val="InternetLink"/>
                  <w:rFonts w:ascii="Times New Roman;serif" w:hAnsi="Times New Roman;serif"/>
                  <w:b w:val="false"/>
                  <w:color w:val="0000FF"/>
                  <w:sz w:val="20"/>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115">
              <w:r>
                <w:rPr>
                  <w:rStyle w:val="InternetLink"/>
                  <w:rFonts w:ascii="Times New Roman;serif" w:hAnsi="Times New Roman;serif"/>
                  <w:b w:val="false"/>
                  <w:strike w:val="false"/>
                  <w:dstrike w:val="false"/>
                  <w:color w:val="000000"/>
                  <w:sz w:val="20"/>
                  <w:u w:val="none"/>
                  <w:effect w:val="none"/>
                </w:rPr>
                <w:t>29</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18">
              <w:r>
                <w:rPr>
                  <w:rStyle w:val="InternetLink"/>
                  <w:rFonts w:ascii="Times New Roman;serif" w:hAnsi="Times New Roman;serif"/>
                  <w:b/>
                  <w:strike w:val="false"/>
                  <w:dstrike w:val="false"/>
                  <w:color w:val="000000"/>
                  <w:sz w:val="20"/>
                  <w:u w:val="none"/>
                  <w:effect w:val="none"/>
                </w:rPr>
                <w:t>Part II.</w:t>
              </w:r>
            </w:hyperlink>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18">
              <w:r>
                <w:rPr>
                  <w:rStyle w:val="InternetLink"/>
                  <w:rFonts w:ascii="Times New Roman;serif" w:hAnsi="Times New Roman;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21">
              <w:r>
                <w:rPr>
                  <w:rStyle w:val="InternetLink"/>
                  <w:rFonts w:ascii="Times New Roman;serif" w:hAnsi="Times New Roman;serif"/>
                  <w:b w:val="false"/>
                  <w:strike w:val="false"/>
                  <w:dstrike w:val="false"/>
                  <w:color w:val="000000"/>
                  <w:sz w:val="20"/>
                  <w:u w:val="none"/>
                  <w:effect w:val="none"/>
                </w:rPr>
                <w:t>Item 1.</w:t>
              </w:r>
            </w:hyperlink>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21">
              <w:r>
                <w:rPr>
                  <w:rStyle w:val="InternetLink"/>
                  <w:rFonts w:ascii="Times New Roman;serif" w:hAnsi="Times New Roman;serif"/>
                  <w:b w:val="false"/>
                  <w:color w:val="0000FF"/>
                  <w:sz w:val="20"/>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121">
              <w:r>
                <w:rPr>
                  <w:rStyle w:val="InternetLink"/>
                  <w:rFonts w:ascii="Times New Roman;serif" w:hAnsi="Times New Roman;serif"/>
                  <w:b w:val="false"/>
                  <w:strike w:val="false"/>
                  <w:dstrike w:val="false"/>
                  <w:color w:val="000000"/>
                  <w:sz w:val="20"/>
                  <w:u w:val="none"/>
                  <w:effect w:val="none"/>
                </w:rPr>
                <w:t>29</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24">
              <w:r>
                <w:rPr>
                  <w:rStyle w:val="InternetLink"/>
                  <w:rFonts w:ascii="Times New Roman;serif" w:hAnsi="Times New Roman;serif"/>
                  <w:b w:val="false"/>
                  <w:strike w:val="false"/>
                  <w:dstrike w:val="false"/>
                  <w:color w:val="000000"/>
                  <w:sz w:val="20"/>
                  <w:u w:val="none"/>
                  <w:effect w:val="none"/>
                </w:rPr>
                <w:t>Item 2.</w:t>
              </w:r>
            </w:hyperlink>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24">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124">
              <w:r>
                <w:rPr>
                  <w:rStyle w:val="InternetLink"/>
                  <w:rFonts w:ascii="Times New Roman;serif" w:hAnsi="Times New Roman;serif"/>
                  <w:b w:val="false"/>
                  <w:strike w:val="false"/>
                  <w:dstrike w:val="false"/>
                  <w:color w:val="000000"/>
                  <w:sz w:val="20"/>
                  <w:u w:val="none"/>
                  <w:effect w:val="none"/>
                </w:rPr>
                <w:t>29</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27">
              <w:r>
                <w:rPr>
                  <w:rStyle w:val="InternetLink"/>
                  <w:rFonts w:ascii="Times New Roman;serif" w:hAnsi="Times New Roman;serif"/>
                  <w:b w:val="false"/>
                  <w:strike w:val="false"/>
                  <w:dstrike w:val="false"/>
                  <w:color w:val="000000"/>
                  <w:sz w:val="20"/>
                  <w:u w:val="none"/>
                  <w:effect w:val="none"/>
                </w:rPr>
                <w:t>Item 5.</w:t>
              </w:r>
            </w:hyperlink>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27">
              <w:r>
                <w:rPr>
                  <w:rStyle w:val="InternetLink"/>
                  <w:rFonts w:ascii="Times New Roman;serif" w:hAnsi="Times New Roman;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127">
              <w:r>
                <w:rPr>
                  <w:rStyle w:val="InternetLink"/>
                  <w:rFonts w:ascii="Times New Roman;serif" w:hAnsi="Times New Roman;serif"/>
                  <w:b w:val="false"/>
                  <w:strike w:val="false"/>
                  <w:dstrike w:val="false"/>
                  <w:color w:val="000000"/>
                  <w:sz w:val="20"/>
                  <w:u w:val="none"/>
                  <w:effect w:val="none"/>
                </w:rPr>
                <w:t>29</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30">
              <w:r>
                <w:rPr>
                  <w:rStyle w:val="InternetLink"/>
                  <w:rFonts w:ascii="Times New Roman;serif" w:hAnsi="Times New Roman;serif"/>
                  <w:b w:val="false"/>
                  <w:strike w:val="false"/>
                  <w:dstrike w:val="false"/>
                  <w:color w:val="000000"/>
                  <w:sz w:val="20"/>
                  <w:u w:val="none"/>
                  <w:effect w:val="none"/>
                </w:rPr>
                <w:t>Item 6.</w:t>
              </w:r>
            </w:hyperlink>
          </w:p>
        </w:tc>
        <w:tc>
          <w:tcPr>
            <w:tcW w:w="88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30">
              <w:r>
                <w:rPr>
                  <w:rStyle w:val="InternetLink"/>
                  <w:rFonts w:ascii="Times New Roman;serif" w:hAnsi="Times New Roman;serif"/>
                  <w:b w:val="false"/>
                  <w:color w:val="0000FF"/>
                  <w:sz w:val="20"/>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130">
              <w:r>
                <w:rPr>
                  <w:rStyle w:val="InternetLink"/>
                  <w:rFonts w:ascii="Times New Roman;serif" w:hAnsi="Times New Roman;serif"/>
                  <w:b w:val="false"/>
                  <w:strike w:val="false"/>
                  <w:dstrike w:val="false"/>
                  <w:color w:val="000000"/>
                  <w:sz w:val="20"/>
                  <w:u w:val="none"/>
                  <w:effect w:val="none"/>
                </w:rPr>
                <w:t>29</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33">
              <w:r>
                <w:rPr>
                  <w:rStyle w:val="InternetLink"/>
                  <w:rFonts w:ascii="Times New Roman;serif" w:hAnsi="Times New Roman;serif"/>
                  <w:b w:val="false"/>
                  <w:color w:val="0000FF"/>
                  <w:sz w:val="20"/>
                  <w:u w:val="single"/>
                </w:rPr>
                <w:t>Index to 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133">
              <w:r>
                <w:rPr>
                  <w:rStyle w:val="InternetLink"/>
                  <w:rFonts w:ascii="Times New Roman;serif" w:hAnsi="Times New Roman;serif"/>
                  <w:b w:val="false"/>
                  <w:strike w:val="false"/>
                  <w:dstrike w:val="false"/>
                  <w:color w:val="000000"/>
                  <w:sz w:val="20"/>
                  <w:u w:val="none"/>
                  <w:effect w:val="none"/>
                </w:rPr>
                <w:t>30</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ce0c416f94d4a419612cc9525f86bbf_136">
              <w:r>
                <w:rPr>
                  <w:rStyle w:val="InternetLink"/>
                  <w:rFonts w:ascii="Times New Roman;serif" w:hAnsi="Times New Roman;serif"/>
                  <w:b w:val="false"/>
                  <w:color w:val="0000FF"/>
                  <w:sz w:val="20"/>
                  <w:u w:val="singl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e0c416f94d4a419612cc9525f86bbf_136">
              <w:r>
                <w:rPr>
                  <w:rStyle w:val="InternetLink"/>
                  <w:rFonts w:ascii="Times New Roman;serif" w:hAnsi="Times New Roman;serif"/>
                  <w:b w:val="false"/>
                  <w:strike w:val="false"/>
                  <w:dstrike w:val="false"/>
                  <w:color w:val="000000"/>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O. SMITH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for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510" w:type="dxa"/>
        <w:jc w:val="left"/>
        <w:tblInd w:w="0" w:type="dxa"/>
        <w:tblLayout w:type="fixed"/>
        <w:tblCellMar>
          <w:top w:w="28" w:type="dxa"/>
          <w:left w:w="28" w:type="dxa"/>
          <w:bottom w:w="28" w:type="dxa"/>
          <w:right w:w="28" w:type="dxa"/>
        </w:tblCellMar>
      </w:tblPr>
      <w:tblGrid>
        <w:gridCol w:w="1500"/>
        <w:gridCol w:w="1313"/>
        <w:gridCol w:w="1327"/>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Earnings Per Share of Common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Earnings Per Share of Common Stock</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Share of Common Stock</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60" w:after="283"/>
        <w:jc w:val="both"/>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O. SMITH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86"/>
        <w:gridCol w:w="1715"/>
        <w:gridCol w:w="173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86"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net gains (losses) on cash flow derivative instruments, less related income tax (provision) benefit of $(0.1) and $(0.5) in 2026, $0.0 and $(0.2) in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to pension liability, less related income tax provision of $0.0 and $0.0 in 2026 and $0.1 and $0.1 in 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O. SMITH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for shares)</w:t>
      </w:r>
    </w:p>
    <w:tbl>
      <w:tblPr>
        <w:tblW w:w="10205" w:type="dxa"/>
        <w:jc w:val="left"/>
        <w:tblInd w:w="0" w:type="dxa"/>
        <w:tblLayout w:type="fixed"/>
        <w:tblCellMar>
          <w:top w:w="28" w:type="dxa"/>
          <w:left w:w="28" w:type="dxa"/>
          <w:bottom w:w="28" w:type="dxa"/>
          <w:right w:w="28" w:type="dxa"/>
        </w:tblCellMar>
      </w:tblPr>
      <w:tblGrid>
        <w:gridCol w:w="2814"/>
        <w:gridCol w:w="2374"/>
        <w:gridCol w:w="2381"/>
        <w:gridCol w:w="211"/>
        <w:gridCol w:w="766"/>
        <w:gridCol w:w="109"/>
        <w:gridCol w:w="109"/>
        <w:gridCol w:w="109"/>
        <w:gridCol w:w="109"/>
        <w:gridCol w:w="227"/>
        <w:gridCol w:w="827"/>
        <w:gridCol w:w="169"/>
      </w:tblGrid>
      <w:tr>
        <w:trPr/>
        <w:tc>
          <w:tcPr>
            <w:tcW w:w="2814"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due within one year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(shares issued, 25,991,739 and 25,993,539 as of June 30, 2026 and December 31, 2025,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(shares issued 164,715,855 and 164,714,053 as of June 30, 2026 and December 31, 2025,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O. SMITH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504" w:type="dxa"/>
        <w:jc w:val="left"/>
        <w:tblInd w:w="0" w:type="dxa"/>
        <w:tblLayout w:type="fixed"/>
        <w:tblCellMar>
          <w:top w:w="28" w:type="dxa"/>
          <w:left w:w="28" w:type="dxa"/>
          <w:bottom w:w="28" w:type="dxa"/>
          <w:right w:w="28" w:type="dxa"/>
        </w:tblCellMar>
      </w:tblPr>
      <w:tblGrid>
        <w:gridCol w:w="2630"/>
        <w:gridCol w:w="2309"/>
        <w:gridCol w:w="2321"/>
        <w:gridCol w:w="211"/>
        <w:gridCol w:w="616"/>
        <w:gridCol w:w="109"/>
        <w:gridCol w:w="109"/>
        <w:gridCol w:w="109"/>
        <w:gridCol w:w="109"/>
        <w:gridCol w:w="211"/>
        <w:gridCol w:w="616"/>
        <w:gridCol w:w="154"/>
      </w:tblGrid>
      <w:tr>
        <w:trPr/>
        <w:tc>
          <w:tcPr>
            <w:tcW w:w="263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cash provided by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and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and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from stock option activity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O. SMITH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58"/>
        <w:gridCol w:w="1441"/>
        <w:gridCol w:w="1445"/>
        <w:gridCol w:w="211"/>
        <w:gridCol w:w="838"/>
        <w:gridCol w:w="109"/>
        <w:gridCol w:w="109"/>
        <w:gridCol w:w="109"/>
        <w:gridCol w:w="109"/>
        <w:gridCol w:w="211"/>
        <w:gridCol w:w="838"/>
        <w:gridCol w:w="109"/>
        <w:gridCol w:w="109"/>
        <w:gridCol w:w="109"/>
        <w:gridCol w:w="109"/>
        <w:gridCol w:w="211"/>
        <w:gridCol w:w="838"/>
        <w:gridCol w:w="109"/>
        <w:gridCol w:w="109"/>
        <w:gridCol w:w="109"/>
        <w:gridCol w:w="109"/>
        <w:gridCol w:w="211"/>
        <w:gridCol w:w="838"/>
        <w:gridCol w:w="157"/>
      </w:tblGrid>
      <w:tr>
        <w:trPr/>
        <w:tc>
          <w:tcPr>
            <w:tcW w:w="165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A Common Stock</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A Common Stock</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A Common Stock</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in Excess of Par Value</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A Common Stock</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 units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share units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Exercises of stock options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share-based compensation</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stock</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 (see Note 15)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w:t>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incentives and directors' compensation</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on repurchases of common stock</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share units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(SEC). Accordingly, they do not include all of the information and footnotes required for complete financial statements. In the opinion of management, all adjustments (consisting of normal recurring accruals) considered necessary for a fair presentation have been included. Operating results for the three and six months ended June 30, 2026 are not necessarily indicative of the results expected for the full year. It is suggested the accompanying condensed consolidated financial statements be read in conjunction with the audited consolidated financial statements and the notes thereto included in the Company’s Annual Report on Form 10-K for the year ended December 31, 2025 filed with the SEC on February 10, 2026.</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Financial Accounting Standards Board (FASB) issued Accounting Standards Update (ASU)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(Subtopic 350-40), which modernizes the accounting guidance for internal-use software costs by eliminating the requirement to assess software development stages and introduces a new capitalization threshold. ASU 2025-06 is effective for fiscal years beginning after December 15, 2027, with early adoption permitted. The Company is currently in the process of reviewing the guidance and evaluating the impact of adopting this ASU on its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(Topic 220): Disaggregation of Income Statement Expenses.” The ASU requires additional disclosures by disaggregating the costs and expense line items that are presented on the face of the income statement. The ASU is effective for the Company beginning with its 2027 annual disclosures and subsequent interim periods. Early adoption is permitted. This ASU requires a public company to apply the amendments either prospectively to financial statements issued for reporting periods after the effective date of this ASU or retrospectively to any or all prior periods presented in the financial statements. The Company is currently evaluating the impact of adopting this ASU on its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amended Accounting Standards Codification (ASC) 740 (issued under ASU 2023-09, “Improvements to Income Tax Disclosures”). This ASU requires added disclosures related to the tax rate reconciliation and income taxes paid and includes other amendments intended to improve effectiveness and comparability. The update was effective for the Company beginning with its 2025 annual disclosures and interim periods beginning in 2026. The adoption of ASU 2023-09 did not affect the Company’s financial position or its results of operations. Refer to Note 13, Income Taxes, for additional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sales are from contracts with customers for the purchase of its products. Contracts and customer purchase orders are used to determine the existence of a sales contract. Shipping documents are used to verify shipment. For substantially all of its products, the Company transfers control of products to the customer at the point in time when title and risk are passed to the customer, which generally occurs upon shipment of the product. Each unit sold is considered an independent, unbundled performance obligation. The Company’s sales arrangements do not include other performance obligations that are material in the context of the contract.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nature, timing and amount of revenue for a respective performance obligation are consistent for each customer. The Company measures the sales transaction price based upon the payment terms associated with the transaction and whether the sales price is subject to refund or adjustment. Sales and value added taxes are excluded from the measurement of the transaction price. The Company’s payment terms for the majority of its customers are 30 to 90 days from shipment. Additionally,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Revenue Recognition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customers in China pay the Company prior to the shipment of products resulting in a customer deposits liability of $24.3 million and $34.2 million at June 30, 2026 and December 31, 2025, respectively. Customer deposit liabilities are short term in nature, recognized into revenue within one year of receipt.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the collectability of customer receivables based on the creditworthiness of a customer as determined by credit checks and analysis, as well as the customer’s payment history. In determining the allowance for credit losses, the Company also considers various factors including the aging of customer accounts and historical write-offs. In addition, the Company monitors other risk factors including forward-looking information when establishing adequate allowances for credit losses, which reflects the current estimate of credit losses expected to be incurred over the life of the receivables. The Company’s allowance for credit losses was $15.7 million and $14.1 million at June 30, 2026 and December 31,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Rebates and incentives are based on pricing agreements and are tied to sales volume. The amount of revenue is reduced for variable consideration related to customer rebates which are calculated using expected values and are based on program specific factors such as expected rebate percentages based on expected volumes. In situations where the customer has the right to return eligible products, the Company reduces revenue for its estimates of expected product returns, which are primarily based on an analysis of historical experience. Changes in such accruals may be required if actual sales volume differs from estimated sales volume or if future returns differ from historical experience. Shipping and handling costs billed to customers are included in net sales and the related costs are included in cost of products sold and are activities performed to fulfill the promise to transfer products.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Disaggregation of Net Sales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comprised of two reporting segments: North America and Rest of World. The Rest of World segment is primarily comprised of China, Europe and India. Both segments manufacture and market comprehensive lines of residential and commercial gas, heat pump and electric water heaters, boilers, tanks and water treatment products. Both segments primarily manufacture and market in their respective regions of the world, and as a result, the Company has determined that geography is the primary factor in reporting its sales. The Company further disaggregates its North America segment sales by major product line as each of North America’s major product lines is sold through distinct distribution channels and these product lines may be impacted differently by certain economic factors. Within the Rest of World segment, particularly in China and India, the Company’s major customers purchase across the Company’s product lines, utilizing the same distribution channels regardless of product type. In addition, the impact of economic factors is unlikely to be differentiated by product line in the Rest of World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North America segment's major product lines are defined as the following:</w:t>
      </w:r>
    </w:p>
    <w:p>
      <w:pPr>
        <w:pStyle w:val="TextBody"/>
        <w:bidi w:val="0"/>
        <w:spacing w:lineRule="auto" w:line="288" w:before="120" w:after="283"/>
        <w:jc w:val="both"/>
        <w:rPr/>
      </w:pPr>
      <w:r>
        <w:rPr>
          <w:rFonts w:ascii="Times New Roman;serif" w:hAnsi="Times New Roman;serif"/>
          <w:b w:val="false"/>
          <w:i/>
          <w:color w:val="000000"/>
          <w:sz w:val="20"/>
        </w:rPr>
        <w:t xml:space="preserve">Water heaters </w:t>
      </w:r>
      <w:r>
        <w:rPr>
          <w:rFonts w:ascii="Times New Roman;serif" w:hAnsi="Times New Roman;serif"/>
          <w:b w:val="false"/>
          <w:color w:val="000000"/>
          <w:sz w:val="20"/>
        </w:rPr>
        <w:t>The Company’s water heaters are open water heating systems that heat potable water. Typical applications for water heaters include residences, restaurants, hotels, office buildings, laundries, car washes and small businesses. The Company sells residential and commercial water heater products and related parts through its wholesale distribution channel, which includes approximately 800 independent wholesale plumbing distributors. The Company also sells residential water heaters and related parts through retail and maintenance, repair and operations (MRO) channels. A significant portion of the Company’s water heater sales in the North America segment is derived from the replacement of existing products.</w:t>
      </w:r>
    </w:p>
    <w:p>
      <w:pPr>
        <w:pStyle w:val="TextBody"/>
        <w:bidi w:val="0"/>
        <w:spacing w:lineRule="auto" w:line="288" w:before="120" w:after="283"/>
        <w:jc w:val="both"/>
        <w:rPr/>
      </w:pPr>
      <w:r>
        <w:rPr>
          <w:rFonts w:ascii="Times New Roman;serif" w:hAnsi="Times New Roman;serif"/>
          <w:b w:val="false"/>
          <w:i/>
          <w:color w:val="000000"/>
          <w:sz w:val="20"/>
        </w:rPr>
        <w:t xml:space="preserve">Boilers and Components </w:t>
      </w:r>
      <w:r>
        <w:rPr>
          <w:rFonts w:ascii="Times New Roman;serif" w:hAnsi="Times New Roman;serif"/>
          <w:b w:val="false"/>
          <w:color w:val="000000"/>
          <w:sz w:val="20"/>
        </w:rPr>
        <w:t>The Company’s boilers are closed loop water heating systems used primarily for space heating or hydronic heating. The Company’s boilers are primarily used in applications in commercial settings for hospitals, schools, hotels and other large commercial buildings while residential boilers are used in homes, apartments and condominiums. Additionally, the Company designs and manufactures components related to water temperature control valves and boiler controls. The valves and controls are primarily used for institutional, commercial, and residential applications, including digital monitoring solutions for multi</w:t>
        <w:noBreakHyphen/>
        <w:t>family, education, and light commercial facilities. The Company’s boiler and component distribution channel is comprised primarily of manufacturer representative firms, with the remainder distributed through wholesale channels. The Company’s boiler and component sales in the North America segment are derived from a combination of replacement of existing products and new construction.</w:t>
      </w:r>
    </w:p>
    <w:p>
      <w:pPr>
        <w:pStyle w:val="TextBody"/>
        <w:bidi w:val="0"/>
        <w:spacing w:lineRule="auto" w:line="288" w:before="120" w:after="283"/>
        <w:jc w:val="both"/>
        <w:rPr/>
      </w:pPr>
      <w:r>
        <w:rPr>
          <w:rFonts w:ascii="Times New Roman;serif" w:hAnsi="Times New Roman;serif"/>
          <w:b w:val="false"/>
          <w:i/>
          <w:color w:val="000000"/>
          <w:sz w:val="20"/>
        </w:rPr>
        <w:t xml:space="preserve">Water treatment products </w:t>
      </w:r>
      <w:r>
        <w:rPr>
          <w:rFonts w:ascii="Times New Roman;serif" w:hAnsi="Times New Roman;serif"/>
          <w:b w:val="false"/>
          <w:color w:val="000000"/>
          <w:sz w:val="20"/>
        </w:rPr>
        <w:t xml:space="preserve">The Company’s water treatment products range from point-of-entry water softeners, solutions for problem well water, and whole-home water filtration products to on-the-go filtration bottles, point-of-use carbon, and reverse osmosis products. A portion of the Company’s sales is comprised of replacement filters. Typical applications for the Company’s water treatment products include residences, restaurants, hotels and offices. The Company sells water treatment products through its retail and wholesale distribution channels, similar to water heaters. The Company’s water treatment products are also sold through independent water quality dealers as well as directly to consumers including through e-commerce sales channels.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Revenue Recognition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net sales by segment. As described above, the Company’s North America segment sales are further disaggregated by major product line. The Company’s Rest of World segment sales are disaggregated by China and all other Rest of World:</w:t>
      </w:r>
    </w:p>
    <w:tbl>
      <w:tblPr>
        <w:tblW w:w="9150" w:type="dxa"/>
        <w:jc w:val="left"/>
        <w:tblInd w:w="0" w:type="dxa"/>
        <w:tblLayout w:type="fixed"/>
        <w:tblCellMar>
          <w:top w:w="28" w:type="dxa"/>
          <w:left w:w="28" w:type="dxa"/>
          <w:bottom w:w="28" w:type="dxa"/>
          <w:right w:w="28" w:type="dxa"/>
        </w:tblCellMar>
      </w:tblPr>
      <w:tblGrid>
        <w:gridCol w:w="1368"/>
        <w:gridCol w:w="1202"/>
        <w:gridCol w:w="1210"/>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heaters and related parts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Boilers, related parts, and components </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treatment products and related parts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North America</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Rest of World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 of World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Includes sales of $15.9 million and $31.8 million in the three and six months ended June 30, 2026, respectively, related to the January 6, 2026 acquisition of Leonard Valve.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3. Acquisitions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2026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2026, the Company acquired 100 percent of the shares and related assets of LVC Holdco LLC (Leonard Valve) a leading manufacturer of water temperature and flow solutions. The addition of Leonard Valve is an advancement of the Company's presence in the water management market, and Leonard Valve is included in the Company's North America segment. The transaction was completed for $470.0 million, net of cash acquired and subject to customary adjustments. The all-cash transaction was funded with cash borrowed under a new credit agreement. Upon closing of the acquisition, $2.0 million was placed into escrow to cover potential working capital adjustments. This escrow amount is included in the total purchase consideration.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Most of the combined purchase price for assets and operations acquired was recorded as intangibles and goodwill with the remaining portion allocated to identifiable assets acquired and liabilities assumed. As of June 30, 2026, the purchase price allocation remains preliminary and subject to final valuation adjustments that will be completed within the one-year period following the acquisition date. The Company incurred acquisition costs of approximately $6.8 million that were recorded in "Selling, general and administrative expenses."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allocation of the fair value of the assets acquired and liabilities assumed at the date of acquisition.</w:t>
      </w:r>
    </w:p>
    <w:tbl>
      <w:tblPr>
        <w:tblW w:w="3560" w:type="dxa"/>
        <w:jc w:val="left"/>
        <w:tblInd w:w="0" w:type="dxa"/>
        <w:tblLayout w:type="fixed"/>
        <w:tblCellMar>
          <w:top w:w="28" w:type="dxa"/>
          <w:left w:w="28" w:type="dxa"/>
          <w:bottom w:w="28" w:type="dxa"/>
          <w:right w:w="28" w:type="dxa"/>
        </w:tblCellMar>
      </w:tblPr>
      <w:tblGrid>
        <w:gridCol w:w="934"/>
        <w:gridCol w:w="818"/>
        <w:gridCol w:w="827"/>
        <w:gridCol w:w="211"/>
        <w:gridCol w:w="61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the $247.8 million of acquired identifiable intangible assets, $39.6 million was assigned to trademarks that are not subject to amortization, $5.9 million was assigned to patents which are amortized over 10 years, and the remaining $202.3 million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Acquisitions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assigned to customer relationships which are amortized over 19 and 20 years. The excess of the acquisition purchase price over the fair value assigned to the assets acquired and liabilities assumed was recorded as goodwill. The allocation of the purchase price to goodwill decreased by $2.1 million in the second quarter of 2026 due to valuation adjustments related to current assets as well as identifiable intangible assets.</w:t>
      </w:r>
    </w:p>
    <w:p>
      <w:pPr>
        <w:pStyle w:val="TextBody"/>
        <w:bidi w:val="0"/>
        <w:spacing w:lineRule="auto" w:line="288" w:before="120" w:after="283"/>
        <w:jc w:val="both"/>
        <w:rPr/>
      </w:pPr>
      <w:r>
        <w:rPr>
          <w:rFonts w:ascii="Times New Roman;serif" w:hAnsi="Times New Roman;serif"/>
          <w:b w:val="false"/>
          <w:color w:val="000000"/>
          <w:sz w:val="20"/>
        </w:rPr>
        <w:t xml:space="preserve">Revenues and pre-tax earnings associated with Leonard Valve included in the consolidated statement of earnings for the six months ended June 30, 2026 totaled $31.8 million and $9.9 million, respectively. As required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results of operations have been included in the Company’s consolidated financial statements from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Restructuring and Impairment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2026, the Company approved and announced a restructuring plan in its water treatment business within the North America segment for approximately $20 million, net of anticipated proceeds from the sale of certain assets expected to occur in late 2026. The plan is designed to increase operational efficiency and accelerate growth through footprint optimization as well as brand rationalization. The Company recognized $22.6 million of restructuring and impairment expenses during the quarter ended June 30, 2026. These expenses were comprised of $2.8 million in severance costs, $7.4 million of other restructuring expenses, and asset impairments of $12.4 million. These expenses had a corresponding tax benefit of $5.5 million.</w:t>
      </w:r>
    </w:p>
    <w:tbl>
      <w:tblPr>
        <w:tblW w:w="10205" w:type="dxa"/>
        <w:jc w:val="left"/>
        <w:tblInd w:w="0" w:type="dxa"/>
        <w:tblLayout w:type="fixed"/>
        <w:tblCellMar>
          <w:top w:w="28" w:type="dxa"/>
          <w:left w:w="28" w:type="dxa"/>
          <w:bottom w:w="28" w:type="dxa"/>
          <w:right w:w="28" w:type="dxa"/>
        </w:tblCellMar>
      </w:tblPr>
      <w:tblGrid>
        <w:gridCol w:w="1445"/>
        <w:gridCol w:w="1166"/>
        <w:gridCol w:w="1165"/>
        <w:gridCol w:w="415"/>
        <w:gridCol w:w="801"/>
        <w:gridCol w:w="216"/>
        <w:gridCol w:w="109"/>
        <w:gridCol w:w="109"/>
        <w:gridCol w:w="109"/>
        <w:gridCol w:w="588"/>
        <w:gridCol w:w="1133"/>
        <w:gridCol w:w="304"/>
        <w:gridCol w:w="109"/>
        <w:gridCol w:w="109"/>
        <w:gridCol w:w="109"/>
        <w:gridCol w:w="322"/>
        <w:gridCol w:w="621"/>
        <w:gridCol w:w="168"/>
        <w:gridCol w:w="109"/>
        <w:gridCol w:w="109"/>
        <w:gridCol w:w="109"/>
        <w:gridCol w:w="211"/>
        <w:gridCol w:w="511"/>
        <w:gridCol w:w="158"/>
      </w:tblGrid>
      <w:tr>
        <w:trPr/>
        <w:tc>
          <w:tcPr>
            <w:tcW w:w="144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Restructuring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776"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776"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Accrued severance and restructuring expenses, March 31, 2026</w:t>
            </w:r>
            <w:r>
              <w:rPr>
                <w:rFonts w:ascii="Times New Roman;serif" w:hAnsi="Times New Roman;serif"/>
                <w:b w:val="false"/>
                <w:color w:val="000000"/>
                <w:sz w:val="12"/>
              </w:rPr>
              <w:t>(1)</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Charges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payments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impairments and other adjustments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severance and restructuring expenses, June 30, 2026</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(1)</w:t>
      </w:r>
      <w:r>
        <w:rPr>
          <w:rFonts w:ascii="Times New Roman;serif" w:hAnsi="Times New Roman;serif"/>
          <w:b w:val="false"/>
          <w:color w:val="000000"/>
          <w:sz w:val="20"/>
        </w:rPr>
        <w:t>The $0.5 million of accrual recorded as of March 31, 2026 relates to a previously announced restructuring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inventory balances:</w:t>
      </w:r>
    </w:p>
    <w:tbl>
      <w:tblPr>
        <w:tblW w:w="5102" w:type="dxa"/>
        <w:jc w:val="left"/>
        <w:tblInd w:w="0" w:type="dxa"/>
        <w:tblLayout w:type="fixed"/>
        <w:tblCellMar>
          <w:top w:w="28" w:type="dxa"/>
          <w:left w:w="28" w:type="dxa"/>
          <w:bottom w:w="28" w:type="dxa"/>
          <w:right w:w="28" w:type="dxa"/>
        </w:tblCellMar>
      </w:tblPr>
      <w:tblGrid>
        <w:gridCol w:w="766"/>
        <w:gridCol w:w="672"/>
        <w:gridCol w:w="677"/>
        <w:gridCol w:w="211"/>
        <w:gridCol w:w="616"/>
        <w:gridCol w:w="109"/>
        <w:gridCol w:w="109"/>
        <w:gridCol w:w="109"/>
        <w:gridCol w:w="109"/>
        <w:gridCol w:w="371"/>
        <w:gridCol w:w="1083"/>
        <w:gridCol w:w="270"/>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at FIFO cost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LIFO reserve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at LIFO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6. Product Warranties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offers warranties on the sales of certain of its products with terms that are consistent with the market and records an accrual for the estimated future claims. The following table presents the Company’s warranty liability activity:</w:t>
      </w:r>
    </w:p>
    <w:tbl>
      <w:tblPr>
        <w:tblW w:w="3968" w:type="dxa"/>
        <w:jc w:val="left"/>
        <w:tblInd w:w="0" w:type="dxa"/>
        <w:tblLayout w:type="fixed"/>
        <w:tblCellMar>
          <w:top w:w="28" w:type="dxa"/>
          <w:left w:w="28" w:type="dxa"/>
          <w:bottom w:w="28" w:type="dxa"/>
          <w:right w:w="28" w:type="dxa"/>
        </w:tblCellMar>
      </w:tblPr>
      <w:tblGrid>
        <w:gridCol w:w="624"/>
        <w:gridCol w:w="548"/>
        <w:gridCol w:w="552"/>
        <w:gridCol w:w="211"/>
        <w:gridCol w:w="616"/>
        <w:gridCol w:w="109"/>
        <w:gridCol w:w="109"/>
        <w:gridCol w:w="109"/>
        <w:gridCol w:w="109"/>
        <w:gridCol w:w="211"/>
        <w:gridCol w:w="61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settled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89" w:type="dxa"/>
        <w:jc w:val="left"/>
        <w:tblInd w:w="0" w:type="dxa"/>
        <w:tblLayout w:type="fixed"/>
        <w:tblCellMar>
          <w:top w:w="28" w:type="dxa"/>
          <w:left w:w="28" w:type="dxa"/>
          <w:bottom w:w="28" w:type="dxa"/>
          <w:right w:w="28" w:type="dxa"/>
        </w:tblCellMar>
      </w:tblPr>
      <w:tblGrid>
        <w:gridCol w:w="668"/>
        <w:gridCol w:w="586"/>
        <w:gridCol w:w="591"/>
        <w:gridCol w:w="211"/>
        <w:gridCol w:w="616"/>
        <w:gridCol w:w="109"/>
        <w:gridCol w:w="109"/>
        <w:gridCol w:w="109"/>
        <w:gridCol w:w="109"/>
        <w:gridCol w:w="211"/>
        <w:gridCol w:w="61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settled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2024, the Company renewed and amended its $500 million multi-year, multi-currency revolving credit agreement with a new expiration date of August 23, 2029. The facility has an accordion provision that allows it to be increased up to $1 billion if certain conditions (including lender approval) are satisfied. Borrowings under the Company's bank credit lines and commercial paper borrowings are supported by a $500 million revolving credit agreement. As a result of the long-term nature of this facility, the Company’s commercial paper and credit line borrowings are classified as long-term debt at June 30, 2026. At its option, the Company either maintains cash balances or pays fees for bank credit and services. The facility requires the Company to maintain two financial covenants, a leverage ratio test and an interest coverage test. The Company was in compliance with the covenants as of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5, 2026, the Company entered into an agreement for a new three-year, $470 million term loan with a group of eight banks. The Company borrowed the full available amount on January 5, 2026, and used the proceeds to finance the purchase of Leonard Valve. The term loan matures in January 2029, and the terms of the agreement outline a balloon payment at maturity. The interest rate on the loan is variable based on the SOFR (secured overnight financing rate) plus 0.88 percent. For the three and six month periods ending June 30, 2026, the interest rate was 4.52 percent and 4.53 percent,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8. Earnings per Share of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numerator for the calculation of basic and diluted earnings per share is net earnings. The following table sets forth the computation of basic and diluted weighted-average shares used in the earnings per share calculations:</w:t>
      </w:r>
    </w:p>
    <w:tbl>
      <w:tblPr>
        <w:tblW w:w="10205" w:type="dxa"/>
        <w:jc w:val="left"/>
        <w:tblInd w:w="0" w:type="dxa"/>
        <w:tblLayout w:type="fixed"/>
        <w:tblCellMar>
          <w:top w:w="28" w:type="dxa"/>
          <w:left w:w="28" w:type="dxa"/>
          <w:bottom w:w="28" w:type="dxa"/>
          <w:right w:w="28" w:type="dxa"/>
        </w:tblCellMar>
      </w:tblPr>
      <w:tblGrid>
        <w:gridCol w:w="1264"/>
        <w:gridCol w:w="1108"/>
        <w:gridCol w:w="1114"/>
        <w:gridCol w:w="593"/>
        <w:gridCol w:w="593"/>
        <w:gridCol w:w="164"/>
        <w:gridCol w:w="157"/>
        <w:gridCol w:w="157"/>
        <w:gridCol w:w="157"/>
        <w:gridCol w:w="593"/>
        <w:gridCol w:w="593"/>
        <w:gridCol w:w="164"/>
        <w:gridCol w:w="109"/>
        <w:gridCol w:w="109"/>
        <w:gridCol w:w="109"/>
        <w:gridCol w:w="593"/>
        <w:gridCol w:w="593"/>
        <w:gridCol w:w="175"/>
        <w:gridCol w:w="144"/>
        <w:gridCol w:w="144"/>
        <w:gridCol w:w="144"/>
        <w:gridCol w:w="593"/>
        <w:gridCol w:w="593"/>
        <w:gridCol w:w="242"/>
      </w:tblGrid>
      <w:tr>
        <w:trPr/>
        <w:tc>
          <w:tcPr>
            <w:tcW w:w="126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 - weighted average shares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137,147,703 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141,629,971 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137,717,039 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142,599,394 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and share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840,935 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137,862,584 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142,483,521 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138,511,483 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143,440,329 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9. Share-Based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adopted the A. O. Smith Combined Incentive Compensation Plan (the Incentive Plan) effective January 1, 2007, and the Incentive Plan was most recently reapproved by stockholders on April 15, 2020. The Incentive Plan is a continuation of the A. O. Smith Combined Executive Incentive Compensation Plan which was originally approved by stockholders in 2002.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83"/>
        <w:ind w:left="0" w:right="0" w:hanging="36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Share Based Compensation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shares available for granting of share-based compensation at June 30, 2026 was 1,890,715. Upon vesting or exercise of share-based compensation, shares are issued from treasury stock.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Share Units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Participants in the Incentive Plan may be awarded share units. Share units vest three years after the date of grant. The Company granted 199,163 and 211,010 share units under the Incentive Plan in the six months ended June 30, 2026 and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share units were valued at $15.5 million and $13.8 million at the date of issuance in 2026 and 2025, respectively, based on the price of the Company’s Common Stock at the date of grant. The share units are recognized as compensation expense ratably over the three-year vesting period. Included in share unit expense in the six months ended June 30, 2026 and 2025 was expense associated with accelerated vesting of share unit awards for certain employees who are retirement eligible or will become retirement eligible during the vesting period. Share-based compensation expense attributable to share units of $2.0 million and $1.8 million was recognized in the three months ended June 30, 2026 and 2025, respectively. Share-based compensation expense attributable to share units of $7.7 million and $7.3 million was recognized in the six months ended June 30, 2026 and 2025, respectively. Certain non-U.S.-based employees receive the cash value of the share price at the vesting date in lieu of shares. Unvested cash-settled awards are remeasured at each reporting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share unit activity under the Incentive Plan is as follows for the six months ended June 30, 2026:</w:t>
      </w:r>
    </w:p>
    <w:tbl>
      <w:tblPr>
        <w:tblW w:w="6731" w:type="dxa"/>
        <w:jc w:val="left"/>
        <w:tblInd w:w="0" w:type="dxa"/>
        <w:tblLayout w:type="fixed"/>
        <w:tblCellMar>
          <w:top w:w="28" w:type="dxa"/>
          <w:left w:w="28" w:type="dxa"/>
          <w:bottom w:w="28" w:type="dxa"/>
          <w:right w:w="28" w:type="dxa"/>
        </w:tblCellMar>
      </w:tblPr>
      <w:tblGrid>
        <w:gridCol w:w="1187"/>
        <w:gridCol w:w="1045"/>
        <w:gridCol w:w="1052"/>
        <w:gridCol w:w="479"/>
        <w:gridCol w:w="479"/>
        <w:gridCol w:w="481"/>
        <w:gridCol w:w="109"/>
        <w:gridCol w:w="109"/>
        <w:gridCol w:w="109"/>
        <w:gridCol w:w="361"/>
        <w:gridCol w:w="1055"/>
        <w:gridCol w:w="265"/>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Date Value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unvested at January 1, 2026</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631,307 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(154,975)</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unvested at June 30, 2026</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664,588 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Performance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2023, certain executives may be awarded performance stock units under the Incentive Plan. Performance stock units vest over three years following the grant date. Performance stock units vest under a set of measurement criteria that are based upon achievement of certain sustainability targets. Potential payouts range from zero to 150% of the target awards and changes from target amounts are reflected as performance adjustments. The Company granted 30,015 and 35,365 performance stock units under the Incentive Plan in the six months ended June 30, 2026 and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performance stock units were valued at $2.4 million and $2.3 million at the date of issuance in 2026 and 2025, respectively, based on the price of the Company’s Common Stock at the date of grant. The performance stock units are recognized as compensation expense ratably over the three-year vesting period. Share-based compensation expense attributable to performance stock units of $0.7 million and $0.7 million was recognized in the three months ended June 30, 2026 and 2025, respectively. Share-based compensation expense attributable to performance stock units of $1.6 million and $1.2 million was recognized in the six months ended June 30, 2026 and 2025, respectively. Certain non-U.S.-based executives receive the cash value of the share price at the vesting date in lieu of shares. Unvested cash-settled awards are remeasured at each reporting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performance stock unit activity under the Incentive Plan is as follows for the six months ended June 30, 2026:</w:t>
      </w:r>
    </w:p>
    <w:tbl>
      <w:tblPr>
        <w:tblW w:w="6731" w:type="dxa"/>
        <w:jc w:val="left"/>
        <w:tblInd w:w="0" w:type="dxa"/>
        <w:tblLayout w:type="fixed"/>
        <w:tblCellMar>
          <w:top w:w="28" w:type="dxa"/>
          <w:left w:w="28" w:type="dxa"/>
          <w:bottom w:w="28" w:type="dxa"/>
          <w:right w:w="28" w:type="dxa"/>
        </w:tblCellMar>
      </w:tblPr>
      <w:tblGrid>
        <w:gridCol w:w="1187"/>
        <w:gridCol w:w="1045"/>
        <w:gridCol w:w="1052"/>
        <w:gridCol w:w="479"/>
        <w:gridCol w:w="479"/>
        <w:gridCol w:w="481"/>
        <w:gridCol w:w="109"/>
        <w:gridCol w:w="109"/>
        <w:gridCol w:w="109"/>
        <w:gridCol w:w="361"/>
        <w:gridCol w:w="1055"/>
        <w:gridCol w:w="265"/>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Date Value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unvested at January 1, 2026</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(33,107)</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adjustments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unvested at June 30, 2026</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117,521 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83"/>
        <w:ind w:left="0" w:right="0" w:hanging="36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10. Segment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comprised of two reporting segments: North America and Rest of World. The Rest of World segment is primarily comprised of China, Europe and India. Both segments manufacture and market comprehensive lines of residential and commercial gas and electric water heaters, boilers, tanks and water treatment products. Both segments primarily manufacture and market in their respective regions of the world.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(CEO) is the Chief Operating Decision Maker (CODM). The CODM allocates resources and makes operating decisions based on the financial information presented by the two reporting segments. The measures regularly reviewed by the CODM include segment sales, earnings, and segment margin. Segment earnings, defined by the Company as earnings before interest expense, taxes, corporate expense, and corporate research and development expenses, were used to measure the performance of the segments. The CODM uses these financial measures to evaluate and allocate capital and company resources as critical determinants of segment performance.</w:t>
      </w:r>
    </w:p>
    <w:tbl>
      <w:tblPr>
        <w:tblW w:w="10205" w:type="dxa"/>
        <w:jc w:val="left"/>
        <w:tblInd w:w="0" w:type="dxa"/>
        <w:tblLayout w:type="fixed"/>
        <w:tblCellMar>
          <w:top w:w="28" w:type="dxa"/>
          <w:left w:w="28" w:type="dxa"/>
          <w:bottom w:w="28" w:type="dxa"/>
          <w:right w:w="28" w:type="dxa"/>
        </w:tblCellMar>
      </w:tblPr>
      <w:tblGrid>
        <w:gridCol w:w="1107"/>
        <w:gridCol w:w="785"/>
        <w:gridCol w:w="791"/>
        <w:gridCol w:w="256"/>
        <w:gridCol w:w="748"/>
        <w:gridCol w:w="132"/>
        <w:gridCol w:w="109"/>
        <w:gridCol w:w="109"/>
        <w:gridCol w:w="109"/>
        <w:gridCol w:w="248"/>
        <w:gridCol w:w="726"/>
        <w:gridCol w:w="128"/>
        <w:gridCol w:w="109"/>
        <w:gridCol w:w="109"/>
        <w:gridCol w:w="109"/>
        <w:gridCol w:w="109"/>
        <w:gridCol w:w="109"/>
        <w:gridCol w:w="241"/>
        <w:gridCol w:w="878"/>
        <w:gridCol w:w="124"/>
        <w:gridCol w:w="109"/>
        <w:gridCol w:w="109"/>
        <w:gridCol w:w="109"/>
        <w:gridCol w:w="338"/>
        <w:gridCol w:w="862"/>
        <w:gridCol w:w="176"/>
        <w:gridCol w:w="109"/>
        <w:gridCol w:w="109"/>
        <w:gridCol w:w="109"/>
        <w:gridCol w:w="211"/>
        <w:gridCol w:w="766"/>
        <w:gridCol w:w="162"/>
      </w:tblGrid>
      <w:tr>
        <w:trPr/>
        <w:tc>
          <w:tcPr>
            <w:tcW w:w="110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1466" w:type="dxa"/>
            <w:gridSpan w:val="6"/>
            <w:tcBorders/>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from external customers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sales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8"/>
        <w:gridCol w:w="443"/>
        <w:gridCol w:w="446"/>
        <w:gridCol w:w="227"/>
        <w:gridCol w:w="663"/>
        <w:gridCol w:w="117"/>
        <w:gridCol w:w="109"/>
        <w:gridCol w:w="109"/>
        <w:gridCol w:w="109"/>
        <w:gridCol w:w="224"/>
        <w:gridCol w:w="655"/>
        <w:gridCol w:w="115"/>
        <w:gridCol w:w="109"/>
        <w:gridCol w:w="109"/>
        <w:gridCol w:w="109"/>
        <w:gridCol w:w="405"/>
        <w:gridCol w:w="807"/>
        <w:gridCol w:w="210"/>
        <w:gridCol w:w="109"/>
        <w:gridCol w:w="109"/>
        <w:gridCol w:w="109"/>
        <w:gridCol w:w="221"/>
        <w:gridCol w:w="806"/>
        <w:gridCol w:w="114"/>
        <w:gridCol w:w="109"/>
        <w:gridCol w:w="109"/>
        <w:gridCol w:w="109"/>
        <w:gridCol w:w="267"/>
        <w:gridCol w:w="673"/>
        <w:gridCol w:w="139"/>
        <w:gridCol w:w="109"/>
        <w:gridCol w:w="109"/>
        <w:gridCol w:w="109"/>
        <w:gridCol w:w="211"/>
        <w:gridCol w:w="766"/>
        <w:gridCol w:w="163"/>
      </w:tblGrid>
      <w:tr>
        <w:trPr/>
        <w:tc>
          <w:tcPr>
            <w:tcW w:w="89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1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from external customers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sales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profit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83"/>
        <w:ind w:left="0" w:right="0" w:hanging="36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10. Segment Results (continued)</w:t>
      </w:r>
    </w:p>
    <w:tbl>
      <w:tblPr>
        <w:tblW w:w="10205" w:type="dxa"/>
        <w:jc w:val="left"/>
        <w:tblInd w:w="0" w:type="dxa"/>
        <w:tblLayout w:type="fixed"/>
        <w:tblCellMar>
          <w:top w:w="28" w:type="dxa"/>
          <w:left w:w="28" w:type="dxa"/>
          <w:bottom w:w="28" w:type="dxa"/>
          <w:right w:w="28" w:type="dxa"/>
        </w:tblCellMar>
      </w:tblPr>
      <w:tblGrid>
        <w:gridCol w:w="1098"/>
        <w:gridCol w:w="770"/>
        <w:gridCol w:w="776"/>
        <w:gridCol w:w="232"/>
        <w:gridCol w:w="845"/>
        <w:gridCol w:w="120"/>
        <w:gridCol w:w="109"/>
        <w:gridCol w:w="109"/>
        <w:gridCol w:w="109"/>
        <w:gridCol w:w="247"/>
        <w:gridCol w:w="723"/>
        <w:gridCol w:w="127"/>
        <w:gridCol w:w="109"/>
        <w:gridCol w:w="109"/>
        <w:gridCol w:w="109"/>
        <w:gridCol w:w="109"/>
        <w:gridCol w:w="109"/>
        <w:gridCol w:w="240"/>
        <w:gridCol w:w="875"/>
        <w:gridCol w:w="124"/>
        <w:gridCol w:w="109"/>
        <w:gridCol w:w="109"/>
        <w:gridCol w:w="109"/>
        <w:gridCol w:w="334"/>
        <w:gridCol w:w="854"/>
        <w:gridCol w:w="174"/>
        <w:gridCol w:w="109"/>
        <w:gridCol w:w="109"/>
        <w:gridCol w:w="109"/>
        <w:gridCol w:w="211"/>
        <w:gridCol w:w="766"/>
        <w:gridCol w:w="163"/>
      </w:tblGrid>
      <w:tr>
        <w:trPr/>
        <w:tc>
          <w:tcPr>
            <w:tcW w:w="109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4"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1467" w:type="dxa"/>
            <w:gridSpan w:val="6"/>
            <w:tcBorders/>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from external customers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sales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5"/>
        <w:gridCol w:w="421"/>
        <w:gridCol w:w="424"/>
        <w:gridCol w:w="218"/>
        <w:gridCol w:w="791"/>
        <w:gridCol w:w="112"/>
        <w:gridCol w:w="109"/>
        <w:gridCol w:w="109"/>
        <w:gridCol w:w="109"/>
        <w:gridCol w:w="222"/>
        <w:gridCol w:w="650"/>
        <w:gridCol w:w="115"/>
        <w:gridCol w:w="109"/>
        <w:gridCol w:w="109"/>
        <w:gridCol w:w="109"/>
        <w:gridCol w:w="398"/>
        <w:gridCol w:w="793"/>
        <w:gridCol w:w="206"/>
        <w:gridCol w:w="109"/>
        <w:gridCol w:w="109"/>
        <w:gridCol w:w="109"/>
        <w:gridCol w:w="220"/>
        <w:gridCol w:w="801"/>
        <w:gridCol w:w="114"/>
        <w:gridCol w:w="109"/>
        <w:gridCol w:w="109"/>
        <w:gridCol w:w="109"/>
        <w:gridCol w:w="262"/>
        <w:gridCol w:w="661"/>
        <w:gridCol w:w="137"/>
        <w:gridCol w:w="109"/>
        <w:gridCol w:w="109"/>
        <w:gridCol w:w="109"/>
        <w:gridCol w:w="211"/>
        <w:gridCol w:w="766"/>
        <w:gridCol w:w="163"/>
      </w:tblGrid>
      <w:tr>
        <w:trPr/>
        <w:tc>
          <w:tcPr>
            <w:tcW w:w="88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1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from external customers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sales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profit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83"/>
        <w:ind w:left="0" w:right="0" w:hanging="36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10. Segment Results (continued)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Assets, depreciation and capital expenditures by segment</w:t>
      </w:r>
    </w:p>
    <w:tbl>
      <w:tblPr>
        <w:tblW w:w="5022" w:type="dxa"/>
        <w:jc w:val="left"/>
        <w:tblInd w:w="0" w:type="dxa"/>
        <w:tblLayout w:type="fixed"/>
        <w:tblCellMar>
          <w:top w:w="28" w:type="dxa"/>
          <w:left w:w="28" w:type="dxa"/>
          <w:bottom w:w="28" w:type="dxa"/>
          <w:right w:w="28" w:type="dxa"/>
        </w:tblCellMar>
      </w:tblPr>
      <w:tblGrid>
        <w:gridCol w:w="622"/>
        <w:gridCol w:w="548"/>
        <w:gridCol w:w="555"/>
        <w:gridCol w:w="242"/>
        <w:gridCol w:w="878"/>
        <w:gridCol w:w="125"/>
        <w:gridCol w:w="109"/>
        <w:gridCol w:w="109"/>
        <w:gridCol w:w="109"/>
        <w:gridCol w:w="322"/>
        <w:gridCol w:w="1168"/>
        <w:gridCol w:w="235"/>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(1)</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3,644.5 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3,142.8 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majority of corporate assets consist of cash, cash equivalents, marketable securities, and deferred income taxes.</w:t>
      </w:r>
    </w:p>
    <w:tbl>
      <w:tblPr>
        <w:tblW w:w="7079" w:type="dxa"/>
        <w:jc w:val="left"/>
        <w:tblInd w:w="0" w:type="dxa"/>
        <w:tblLayout w:type="fixed"/>
        <w:tblCellMar>
          <w:top w:w="28" w:type="dxa"/>
          <w:left w:w="28" w:type="dxa"/>
          <w:bottom w:w="28" w:type="dxa"/>
          <w:right w:w="28" w:type="dxa"/>
        </w:tblCellMar>
      </w:tblPr>
      <w:tblGrid>
        <w:gridCol w:w="989"/>
        <w:gridCol w:w="869"/>
        <w:gridCol w:w="87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Depreciation and amortization</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24" w:type="dxa"/>
        <w:jc w:val="left"/>
        <w:tblInd w:w="0" w:type="dxa"/>
        <w:tblLayout w:type="fixed"/>
        <w:tblCellMar>
          <w:top w:w="28" w:type="dxa"/>
          <w:left w:w="28" w:type="dxa"/>
          <w:bottom w:w="28" w:type="dxa"/>
          <w:right w:w="28" w:type="dxa"/>
        </w:tblCellMar>
      </w:tblPr>
      <w:tblGrid>
        <w:gridCol w:w="679"/>
        <w:gridCol w:w="596"/>
        <w:gridCol w:w="59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Capital expenditures</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lineRule="auto" w:line="288" w:before="120" w:after="283"/>
        <w:jc w:val="both"/>
        <w:rPr/>
      </w:pPr>
      <w:r>
        <w:rPr>
          <w:rFonts w:ascii="Times New Roman;serif" w:hAnsi="Times New Roman;serif"/>
          <w:b w:val="false"/>
          <w:color w:val="000000"/>
          <w:sz w:val="20"/>
        </w:rPr>
        <w:t xml:space="preserve">ASC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among other things, defines fair value, establishes a consistent framework for measuring fair value and expands disclosure for each major asset and liability category measured at fair value on either a recurring basis or nonrecurring basis. ASC 820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ASC 820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 Assets and liabilities measured at fair value are based on the market approach which are prices and other relevant information generated by market transactions involving identical or comparable assets or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Assets (liabilities) measured at fair value on a recurring basis are as follows (dollars in millions): </w:t>
      </w:r>
    </w:p>
    <w:tbl>
      <w:tblPr>
        <w:tblW w:w="9864" w:type="dxa"/>
        <w:jc w:val="left"/>
        <w:tblInd w:w="0" w:type="dxa"/>
        <w:tblLayout w:type="fixed"/>
        <w:tblCellMar>
          <w:top w:w="28" w:type="dxa"/>
          <w:left w:w="28" w:type="dxa"/>
          <w:bottom w:w="28" w:type="dxa"/>
          <w:right w:w="28" w:type="dxa"/>
        </w:tblCellMar>
      </w:tblPr>
      <w:tblGrid>
        <w:gridCol w:w="1808"/>
        <w:gridCol w:w="1589"/>
        <w:gridCol w:w="1598"/>
        <w:gridCol w:w="679"/>
        <w:gridCol w:w="679"/>
        <w:gridCol w:w="681"/>
        <w:gridCol w:w="226"/>
        <w:gridCol w:w="436"/>
        <w:gridCol w:w="117"/>
        <w:gridCol w:w="109"/>
        <w:gridCol w:w="109"/>
        <w:gridCol w:w="109"/>
        <w:gridCol w:w="414"/>
        <w:gridCol w:w="1005"/>
        <w:gridCol w:w="305"/>
      </w:tblGrid>
      <w:tr>
        <w:trPr/>
        <w:tc>
          <w:tcPr>
            <w:tcW w:w="180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 Measurement Using</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Balance Sheet Location</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Quoted prices in active markets for identical assets (Level 1)</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other observable inputs (Level 2)</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Derivative Assets</w:t>
            </w:r>
            <w:r>
              <w:rPr>
                <w:rFonts w:ascii="Times New Roman;serif" w:hAnsi="Times New Roman;serif"/>
                <w:b w:val="false"/>
                <w:color w:val="000000"/>
                <w:sz w:val="13"/>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Footnote 12 for additional details regarding the classifications of the derivative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83"/>
        <w:ind w:left="0" w:right="0" w:hanging="36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11. Fair Value Measurements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Items measured at fair value were comprised of the Company’s marketable securities (Level 1) and derivative instruments (Level 2). There were no changes in the Company's valuation techniques used to measure fair values on a recurring basis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12. Derivative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certain derivative instruments to enhance its ability to manage currency exposure as well as raw materials price risk. Derivative instruments are entered into for periods consistent with the related underlying exposures and do not constitute positions independent of those exposures. The Company does not enter into contracts for speculative purposes. The contracts are executed with major financial institutions with no credit loss anticipated for failure of the counterparties to perform.</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Hedges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its net investment hedges, the Company designates all of its hedging instruments that qualify for hedge accounting in accordance with ASC 815 as cash flow hedges. For derivative instruments that are designated and qualify as a cash flow hedge (i.e., hedging the exposure to variability in expected future cash flows that is attributable to a particular risk), gains or losses on the derivative instrument are reported as a component of other comprehensive loss, net of tax, and are reclassified into earnings in the same line item associated with the forecasted transaction and in the same period or periods during which the hedged transaction affects earnings.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Foreign Currency Forward Contracts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exposed to foreign currency exchange risk as a result of transactions in currencies other than the functional currency of certain subsidiaries. The Company utilizes foreign currency forward purchase and sale contracts to manage the volatility associated with foreign currency purchases, sales and certain intercompany transactions in the normal course of business. Principal currencies for which the Company utilizes foreign currency forward contracts from time to time include the British pound, Canadian dollar, Euro and Mexican peso.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Gains and losses on these instruments are recorded in accumulated other comprehensive loss, net of tax, until the underlying transaction is recorded in earnings. When the hedged item is realized, gains or losses are reclassified from accumulated other comprehensive loss to the condensed consolidated statement of earnings. The assessment of effectiveness for forward contracts is based on changes in the forward rates. These hedges have been determined to be effective.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the amounts in accumulated other comprehensive loss for cash flow hedges are expected to be reclassified into earnings within one year. The combined fair value of the foreign currency forward contracts was an asset balance of $2.4 million as of June 30, 2026 and $1.0 million as of December 31, 2025, respectively, which was recorded in Other current assets within the condensed consolidated balance sheet.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by currency, the contractual amounts of the Company’s foreign currency forward contracts as of the dates indicated that were designated as cash flow hedges:</w:t>
      </w:r>
    </w:p>
    <w:tbl>
      <w:tblPr>
        <w:tblW w:w="6074" w:type="dxa"/>
        <w:jc w:val="left"/>
        <w:tblInd w:w="0" w:type="dxa"/>
        <w:tblLayout w:type="fixed"/>
        <w:tblCellMar>
          <w:top w:w="28" w:type="dxa"/>
          <w:left w:w="28" w:type="dxa"/>
          <w:bottom w:w="28" w:type="dxa"/>
          <w:right w:w="28" w:type="dxa"/>
        </w:tblCellMar>
      </w:tblPr>
      <w:tblGrid>
        <w:gridCol w:w="624"/>
        <w:gridCol w:w="548"/>
        <w:gridCol w:w="552"/>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Mexican peso</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interest rate risk as a result of its floating rate borrowings. The Company entered into a forward interest rate swap agreement with an independent counterparty to hedge the variability in cash flows due to changes in the Secured Overnight Financing Rate (SOFR) benchmark interest rate associated with variable rate borrowings. The interest rate swap at June 30, 2026 has a maturity date of September 30, 2029 and effectively converts the Company’s variable interest rate obligation to a fixed interest rate obligation. The interest rate swap had an aggregate notional amount of 3.6 billion rupees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12. Derivative Instruments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(approximately $37.7 million) and 4.2 billion rupees (approximately $46.6 million) as of June 30, 2026 and December 31, 2025, respectively. The aggregate effective interest rate of the swap as of June 30, 2026 was 8.25%.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interest rate swap contract was a liability balance of $0.5 million and $1.0 million as of June 30, 2026 and December 31, 2025, respectively, which was recorded in Accrued liabilities within the condensed consolidated balance sheet.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cash flow hedges on the condensed consolidated statement of earnings: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Three Months Ended June 30 (dollars in millions):</w:t>
      </w:r>
    </w:p>
    <w:tbl>
      <w:tblPr>
        <w:tblW w:w="10205" w:type="dxa"/>
        <w:jc w:val="left"/>
        <w:tblInd w:w="0" w:type="dxa"/>
        <w:tblLayout w:type="fixed"/>
        <w:tblCellMar>
          <w:top w:w="28" w:type="dxa"/>
          <w:left w:w="28" w:type="dxa"/>
          <w:bottom w:w="28" w:type="dxa"/>
          <w:right w:w="28" w:type="dxa"/>
        </w:tblCellMar>
      </w:tblPr>
      <w:tblGrid>
        <w:gridCol w:w="1094"/>
        <w:gridCol w:w="962"/>
        <w:gridCol w:w="965"/>
        <w:gridCol w:w="109"/>
        <w:gridCol w:w="109"/>
        <w:gridCol w:w="109"/>
        <w:gridCol w:w="308"/>
        <w:gridCol w:w="594"/>
        <w:gridCol w:w="159"/>
        <w:gridCol w:w="159"/>
        <w:gridCol w:w="159"/>
        <w:gridCol w:w="159"/>
        <w:gridCol w:w="308"/>
        <w:gridCol w:w="676"/>
        <w:gridCol w:w="159"/>
        <w:gridCol w:w="109"/>
        <w:gridCol w:w="109"/>
        <w:gridCol w:w="109"/>
        <w:gridCol w:w="550"/>
        <w:gridCol w:w="550"/>
        <w:gridCol w:w="551"/>
        <w:gridCol w:w="109"/>
        <w:gridCol w:w="109"/>
        <w:gridCol w:w="109"/>
        <w:gridCol w:w="215"/>
        <w:gridCol w:w="415"/>
        <w:gridCol w:w="111"/>
        <w:gridCol w:w="111"/>
        <w:gridCol w:w="111"/>
        <w:gridCol w:w="111"/>
        <w:gridCol w:w="215"/>
        <w:gridCol w:w="415"/>
        <w:gridCol w:w="167"/>
      </w:tblGrid>
      <w:tr>
        <w:trPr/>
        <w:tc>
          <w:tcPr>
            <w:tcW w:w="109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Derivatives in ASC 815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other</w:t>
              <w:br/>
              <w:t>comprehensive</w:t>
              <w:br/>
              <w:t>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w:t>
              <w:br/>
              <w:t>reclassified from</w:t>
              <w:br/>
              <w:t>accumulated other</w:t>
              <w:br/>
              <w:t>comprehensive loss</w:t>
              <w:br/>
              <w:t>into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w:t>
              <w:br/>
              <w:t>reclassified from</w:t>
              <w:br/>
              <w:t>accumulated other</w:t>
              <w:br/>
              <w:t>comprehensive</w:t>
              <w:br/>
              <w:t>loss into earnings</w:t>
            </w:r>
          </w:p>
        </w:tc>
      </w:tr>
      <w:tr>
        <w:trPr/>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Six Months Ended June 30 (dollars in millions):</w:t>
      </w:r>
    </w:p>
    <w:tbl>
      <w:tblPr>
        <w:tblW w:w="10205" w:type="dxa"/>
        <w:jc w:val="left"/>
        <w:tblInd w:w="0" w:type="dxa"/>
        <w:tblLayout w:type="fixed"/>
        <w:tblCellMar>
          <w:top w:w="28" w:type="dxa"/>
          <w:left w:w="28" w:type="dxa"/>
          <w:bottom w:w="28" w:type="dxa"/>
          <w:right w:w="28" w:type="dxa"/>
        </w:tblCellMar>
      </w:tblPr>
      <w:tblGrid>
        <w:gridCol w:w="1093"/>
        <w:gridCol w:w="962"/>
        <w:gridCol w:w="964"/>
        <w:gridCol w:w="109"/>
        <w:gridCol w:w="109"/>
        <w:gridCol w:w="109"/>
        <w:gridCol w:w="317"/>
        <w:gridCol w:w="611"/>
        <w:gridCol w:w="164"/>
        <w:gridCol w:w="164"/>
        <w:gridCol w:w="164"/>
        <w:gridCol w:w="164"/>
        <w:gridCol w:w="317"/>
        <w:gridCol w:w="611"/>
        <w:gridCol w:w="164"/>
        <w:gridCol w:w="109"/>
        <w:gridCol w:w="109"/>
        <w:gridCol w:w="109"/>
        <w:gridCol w:w="550"/>
        <w:gridCol w:w="550"/>
        <w:gridCol w:w="551"/>
        <w:gridCol w:w="109"/>
        <w:gridCol w:w="109"/>
        <w:gridCol w:w="109"/>
        <w:gridCol w:w="211"/>
        <w:gridCol w:w="406"/>
        <w:gridCol w:w="109"/>
        <w:gridCol w:w="109"/>
        <w:gridCol w:w="109"/>
        <w:gridCol w:w="109"/>
        <w:gridCol w:w="211"/>
        <w:gridCol w:w="453"/>
        <w:gridCol w:w="161"/>
      </w:tblGrid>
      <w:tr>
        <w:trPr/>
        <w:tc>
          <w:tcPr>
            <w:tcW w:w="109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Derivatives in ASC 815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other</w:t>
              <w:br/>
              <w:t>comprehensive</w:t>
              <w:br/>
              <w:t>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w:t>
              <w:br/>
              <w:t>reclassified from</w:t>
              <w:br/>
              <w:t>accumulated other</w:t>
              <w:br/>
              <w:t>comprehensive loss</w:t>
              <w:br/>
              <w:t>into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w:t>
              <w:br/>
              <w:t>reclassified from</w:t>
              <w:br/>
              <w:t>accumulated other</w:t>
              <w:br/>
              <w:t>comprehensive</w:t>
              <w:br/>
              <w:t>loss into earnings</w:t>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Investment Hedges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foreign currency denominated intercompany debt and third-party foreign currency forward contracts to hedge the exposure to a portion of the Company’s net investments in certain non-U.S. subsidiaries against the effect of exchange rate fluctuations on the translation of foreign currency balances to the U.S. dollar. For the derivative instruments that are designated and qualify as net investment hedges, gains and losses are reported in other comprehensive loss where they offset gains and losses recorded on the Company’s net investments in its non-U.S. subsidiaries. These hedges are determined to be effective. The Company recognized $3.3 million and $2.6 million of after-tax losses associated with hedges of net investments in non-U.S. subsidiaries in currency translation adjustment in other comprehensive loss in the three months ended June 30, 2026 and June 30, 2025, respectively. The Company recognized $6.1 million and $3.8 million of after-tax losses associated with hedges of net investments in non-U.S. subsidiaries in currency translation adjustment in other comprehensive loss in the six months ended June 30, 2026 and June 30,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contractual amount of the Company’s foreign currency denominated intercompany debt that is designated as a net investment hedge was ¥1.5 billion RMB, approximately $214.9 million and $208.8 million, as of June 30, 2026 and December 31, 2025, respectively. The fair value of the net investment hedge was zero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three and six months ended June 30, 2026 was 20.9 percent and 22.3 percent, respectively. The Company estimates that its annual effective income tax rate for the full year 2026 will be approximately 24.0 percent. The effective income tax rate for both the three and six months ended June 30, 2025 was 24.5 percent. The change in the effective income tax rate for the three and six months ended June 30, 2026 compared to the effective income tax rate for the three and six months ended June 30, 2025 was primarily due to a discrete tax benefit recognized during the period ended June 30, 2026 related to U.S. cross border tax elections.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13. Income Taxes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$13.0 million of unrecognized tax benefits of which $4.9 million would affect its effective income tax rate if recognized. The Company recognizes potential interest and penalties related to unrecognized tax benefits as a component of income tax expense. The Company’s U.S. federal income tax returns and its U.S. state and local income tax returns are subject to audit for the years 2022-2026 and 2010-2026, respectively. The Company is subject to examinations in foreign tax jurisdictions for the years 2020-2026.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29, 2026, the Company identified damage to a portion of the roof structure at its Ashland City, Tennessee facility as a result of a severe ice and snow weather event. For safety reasons, production in the affected area was temporarily suspended while remediation activities were performed. During that period, the Company shifted certain production activities to other facilities to mitigate the operational impact. The Company maintains insurance coverage for property damage, as well as business interruption losses, including lost profits and certain incremental costs incurred as a result of the event. During the second quarter of 2026, the Company submitted an insurance claim for property damage and business interruption losses related to the event, and the Company continues to work with its insurance carrier through the claims process. The Company does not expect this matter to have a material effect on its financial position, results of operations, or cash flows, as the related costs and losses are expected to be recoverable under its insurance coverage.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maintained a commercial relationship with a supply-chain service provider (the Provider) in connection with the Company’s business in China. In this capacity, the Provider offered order-entry, warehousing and logistics support. The Provider also offered asset-backed financing to certain of the Company’s distributors in China to facilitate their working capital needs. To facilitate its financing support business, the Provider had collateralized lending facilities in place with multiple Chinese banks under which the Company has agreed to repurchase inventory if both requested by the banks and certain defined conditions are met, primarily related to the aging of the distributors’ notes. As of December 31, 2025, the Company terminated the arrangement with the Provider. All existing loans have been paid off as of June 30, 2026, with no new loans offered. The Provider is required to indemnify the Company for any losses the Company would incur in the event of an inventory repurchase under these arrangements. Potential losses under the repurchase arrangements represent the difference between the repurchase price and net proceeds from the resale of the product plus costs incurred in the process, less related distributor rebates. The Company’s reserves for estimated losses under these repurchase arrangements were immaterial as of June 30, 2026 and December 31, 2025. </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hanging="360"/>
        <w:jc w:val="left"/>
        <w:rPr/>
      </w:pPr>
      <w:r>
        <w:rPr/>
      </w:r>
    </w:p>
    <w:p>
      <w:pPr>
        <w:pStyle w:val="TextBody"/>
        <w:bidi w:val="0"/>
        <w:spacing w:before="360" w:after="283"/>
        <w:ind w:left="0" w:right="0" w:hanging="360"/>
        <w:jc w:val="both"/>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15. Changes in Accumulated Other Comprehensive Loss by Component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to accumulated other comprehensive loss by component are as follows: </w:t>
      </w:r>
    </w:p>
    <w:tbl>
      <w:tblPr>
        <w:tblW w:w="10205" w:type="dxa"/>
        <w:jc w:val="left"/>
        <w:tblInd w:w="0" w:type="dxa"/>
        <w:tblLayout w:type="fixed"/>
        <w:tblCellMar>
          <w:top w:w="28" w:type="dxa"/>
          <w:left w:w="28" w:type="dxa"/>
          <w:bottom w:w="28" w:type="dxa"/>
          <w:right w:w="28" w:type="dxa"/>
        </w:tblCellMar>
      </w:tblPr>
      <w:tblGrid>
        <w:gridCol w:w="2947"/>
        <w:gridCol w:w="2440"/>
        <w:gridCol w:w="2455"/>
        <w:gridCol w:w="211"/>
        <w:gridCol w:w="674"/>
        <w:gridCol w:w="109"/>
        <w:gridCol w:w="109"/>
        <w:gridCol w:w="109"/>
        <w:gridCol w:w="109"/>
        <w:gridCol w:w="211"/>
        <w:gridCol w:w="674"/>
        <w:gridCol w:w="157"/>
      </w:tblGrid>
      <w:tr>
        <w:trPr/>
        <w:tc>
          <w:tcPr>
            <w:tcW w:w="2947"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7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foreign currency translation</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gain before reclassifications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net (loss) gain on cash flow derivatives</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(losses) gains before reclassifications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(gains) losses on derivatives (net of income tax provision (benefit) of $0.2 and $0.1 in 2026 and 2025, respectively)</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w:t>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47"/>
        <w:gridCol w:w="2440"/>
        <w:gridCol w:w="2455"/>
        <w:gridCol w:w="211"/>
        <w:gridCol w:w="674"/>
        <w:gridCol w:w="109"/>
        <w:gridCol w:w="109"/>
        <w:gridCol w:w="109"/>
        <w:gridCol w:w="109"/>
        <w:gridCol w:w="211"/>
        <w:gridCol w:w="674"/>
        <w:gridCol w:w="157"/>
      </w:tblGrid>
      <w:tr>
        <w:trPr/>
        <w:tc>
          <w:tcPr>
            <w:tcW w:w="2947"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7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foreign currency translation</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gain before reclassifications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net (loss) gain on cash flow derivatives</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gains before reclassifications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(gains) losses on derivatives (net of income tax provision (benefit) of $0.3 and $0.0 in 2026 and 2025, respectively)</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w:t>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2 -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pPr>
      <w:r>
        <w:rPr>
          <w:rFonts w:ascii="Times New Roman;serif" w:hAnsi="Times New Roman;serif"/>
          <w:b/>
          <w:color w:val="000000"/>
          <w:sz w:val="20"/>
        </w:rPr>
        <w:t>Overview</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company is comprised of two reporting segments: North America and Rest of World. Our Rest of World segment is primarily comprised of China, India, and Europe. Both segments manufacture and market comprehensive lines of residential and commercial gas, heat pump and electric water heaters, boilers, tanks, and water treatment products. Both segments primarily manufacture and market in their respective region of the world.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Consistent with our stated strategic priorities, we continue to seek acquisitions that enable growth, expand our core business, and establish adjacencies. In January 2026, we acquired LVC Holdco LLC (Leonard Valve) for $470 million, subject to customary adjustments, and was funded with cash borrowed under a new term loan with a group of eight banks. Leonard Valve is a leading manufacturer of water temperature and flow solutions and we believe it represents a compelling strategic fit and a meaningful advancement into our presence in the water management market. Leonard Valve is projected to contribute approximately $70 million in sales in 2026 in the North America segment. Leonard Valve contributed approximately $16 million and $32 million to sales in the second quarter and first half of 2026, respectively. In the first quarter, we recognized $6 million of acquisition-related transaction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Consistent with our Operational Excellence strategic priority, the Company announced a restructuring plan in its North America water treatment business designed to increase operational efficiency and accelerate growth through footprint optimization as well as brand rationalization. In the second quarter, the Company recognized a restructuring charge of $22.6 million, the majority of which is due to non-cash impairment expenses. Beginning in 2027, annual savings are projected to be approximately $6 million to $8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our North America segment, water heater sales grew two percent in the second quarter of 2026. Water heater sales were flat in the first half of 2026 as pricing benefits were offset by lower residential volumes. We project that full year 2026 residential industry unit volumes will decrease low single digits, due to softness in new construction and a slower than expected start to the year. We project that commercial water heater industry volumes will be similar to last year. The Department of Energy recently announced an up-to-one-year enforcement delay of the October 2026 regulatory change related to energy efficiency requirements on commercial gas products. In response to higher steel and other input costs, in April, we announced price increases of four to seven percent on most of our water heater and boiler products that went into effect at the end of the second quarter. Our boiler sales grew 21 percent and 12 percent in the second quarter and first half of 2026, respectively, due to carryover pricing benefits, a strong response to our annual seasonal pre-buy programs and pre-buy ahead of 2026 price increase. We expect our boiler sales to grow between six and eight percent in 2026. We anticipate sales of our North America water treatment products will grow between five and six percent primarily due to the benefits of pricing actions and as we continue to expand our dealer network, partially offset by softness in our consumer channels.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our Rest of World segment, China third-party sales declined 28 percent in local currency in the second quarter of 2026 due to continued challenging market conditions including the cessation of the government appliance subsidy programs. For the full year 2026, based on our caution around a recovery timeline of our China business, we project our third-party sales in China to decrease low double-digits in local currency sales compared to 2025. In 2025, we initiated an assessment of strategic opportunities for our China business, including strategic partnerships and other alternatives. We believe the China market has substantial long-term prospects and are committed to realizing the potential upside inherent in our China business. The assessment is ongoing.</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Combining all of these factors, we expect our 2026 consolidated sales to grow between two and three percent compared to 2025. Our guidance excludes the impacts from potential future acquisitions, any potential outcomes of the assessment of the China business and and the potential impact of recently announced changes in tariff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tbl>
      <w:tblPr>
        <w:tblW w:w="9632" w:type="dxa"/>
        <w:jc w:val="left"/>
        <w:tblInd w:w="0" w:type="dxa"/>
        <w:tblLayout w:type="fixed"/>
        <w:tblCellMar>
          <w:top w:w="28" w:type="dxa"/>
          <w:left w:w="28" w:type="dxa"/>
          <w:bottom w:w="28" w:type="dxa"/>
          <w:right w:w="28" w:type="dxa"/>
        </w:tblCellMar>
      </w:tblPr>
      <w:tblGrid>
        <w:gridCol w:w="1352"/>
        <w:gridCol w:w="1186"/>
        <w:gridCol w:w="1196"/>
        <w:gridCol w:w="211"/>
        <w:gridCol w:w="766"/>
        <w:gridCol w:w="241"/>
        <w:gridCol w:w="109"/>
        <w:gridCol w:w="109"/>
        <w:gridCol w:w="109"/>
        <w:gridCol w:w="211"/>
        <w:gridCol w:w="766"/>
        <w:gridCol w:w="241"/>
        <w:gridCol w:w="109"/>
        <w:gridCol w:w="109"/>
        <w:gridCol w:w="109"/>
        <w:gridCol w:w="211"/>
        <w:gridCol w:w="766"/>
        <w:gridCol w:w="241"/>
        <w:gridCol w:w="109"/>
        <w:gridCol w:w="109"/>
        <w:gridCol w:w="109"/>
        <w:gridCol w:w="211"/>
        <w:gridCol w:w="766"/>
        <w:gridCol w:w="286"/>
      </w:tblGrid>
      <w:tr>
        <w:trPr/>
        <w:tc>
          <w:tcPr>
            <w:tcW w:w="135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7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Gross profit margin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39.1 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sales in the second quarter of 2026 were $1,004.3 million and were slightly lower than the second quarter of 2025 sales of $1,011.3 million. Sales in the first six months of 2026 were $1,949.9 million and lower than sales of $1,975.2 in the first six months of 2025. Compared to the prior year quarter, our net sales decrease was primarily driven by lower sales in China due to continued weak consumer demand partially offset by the sales contribution from the acquisition of Leonard Valve, and the three percent organic growth in our North America business. Our net sales decrease in the first six months of 2026 was primarily driven by lower sales in China partially offset by the sales contribution from the acquisition of Leonard Valve, and the one percent organic growth in our North America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gross profit margin in the second quarter of 2026 was 38.6 percent compared to 39.3 percent in the second quarter of 2025. Gross profit margin in the first six months of 2026 was 38.6 compared to 39.1 percent in the first six months of 2025. The decrease in gross profit margin for the second quarter and first six months of 2026 compared to the prior year periods was primarily due to lower sales volumes and higher material cost.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(SG&amp;A) expenses in the second quarter of 2026 increased $6.4 million compared to the second quarter of 2025. SG&amp;A expenses increased $17.7 million in the first six months of 2026 compared to the prior year period. The increases in SG&amp;A expenses in the second quarter of 2026 compared to the prior year period were primarily due to the Leonard Valve acquisition including higher amortization expenses, and consulting costs. The increases in first six months of 2026 compared to the prior year period were primarily due to higher employee costs, amortization expense and transaction costs related to the acquisition of Leonard Valve and consulting cost.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and impairment expense in the three and six months ended June 30, 2026 was $22.6 million, and was associated with a restructuring plan designed to increase operational efficiency and accelerate growth through footprint optimization and brand rationalization. The expense was related to our water treatment business and recorded in the North America segment.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 the second quarter of 2026 was $8.1 million compared to $4.6 million in the same period last year. Interest expense in the first six months of 2026 was $15.2 million compared to $7.5 million in the same period last year. The increase in interest expense in the second quarter and first six months of 2026 was primarily due to higher debt levels as a result of the Leonard Valve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(income), net for the second quarter of 2026 was expense of $1.4 million compared to income of $0.4 million for the second quarter of 2025. Other expense (income), net for the first six months of 2026 was expense of $1.4 million, compared to income of $1.6 million for the first six months of 2025. The change in Other expense (income), net in the second quarter of 2026 was primarily due to higher foreign currency translation losses. The change in Other expense (income), net in the first six months of 2026 was primarily due to higher foreign currency translation losses and lower interest income.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for the three and six months ended June 30, 2026 was 20.9 percent and 22.3 percent, respectively. The effective income tax rate for the three and six months ended June 30, 2025 was 24.5 percent. The change in the effective income tax rate for the three and six months ended June 30, 2026 compared to the effective income tax rate for the three and six months ended June 30, 2025 was primarily due to a discrete tax benefit recognized during the period ended June 30, 2026 related to U.S. cross border tax elections. We estimate that our annual effective income tax rate for the full year of 2026 will be approximately 24.0 percent.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providing non-U.S. Generally Accepted Accounting Principles (GAAP) measures (adjusted earnings, adjusted earnings per share (EPS), total segment earnings and adjusted segment earnings) that exclude the impact of restructuring and impairment expenses, as well as organic growth (decline) that excludes the impact of acquisitions and divestitures and foreign exchange from year-over-year comparisons. Reconciliations from GAAP measures to non-GAAP measures are provided in the Non-GAAP Measures section below. We believe that the measures of adjusted earnings, adjusted EPS, total segment earnings, organic growth (decline) and adjusted segment earnings provide useful information to investors about our performance and allow management and our investors to better understand our performance between periods without regard to items that we do not consider to be a component of our core operating performance or recurring in nature.</w:t>
      </w:r>
    </w:p>
    <w:p>
      <w:pPr>
        <w:pStyle w:val="TextBody"/>
        <w:bidi w:val="0"/>
        <w:spacing w:before="120" w:after="283"/>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North America Segment</w:t>
      </w:r>
    </w:p>
    <w:tbl>
      <w:tblPr>
        <w:tblW w:w="7322" w:type="dxa"/>
        <w:jc w:val="left"/>
        <w:tblInd w:w="0" w:type="dxa"/>
        <w:tblLayout w:type="fixed"/>
        <w:tblCellMar>
          <w:top w:w="28" w:type="dxa"/>
          <w:left w:w="28" w:type="dxa"/>
          <w:bottom w:w="28" w:type="dxa"/>
          <w:right w:w="28" w:type="dxa"/>
        </w:tblCellMar>
      </w:tblPr>
      <w:tblGrid>
        <w:gridCol w:w="624"/>
        <w:gridCol w:w="548"/>
        <w:gridCol w:w="552"/>
        <w:gridCol w:w="211"/>
        <w:gridCol w:w="616"/>
        <w:gridCol w:w="241"/>
        <w:gridCol w:w="109"/>
        <w:gridCol w:w="109"/>
        <w:gridCol w:w="109"/>
        <w:gridCol w:w="211"/>
        <w:gridCol w:w="616"/>
        <w:gridCol w:w="241"/>
        <w:gridCol w:w="109"/>
        <w:gridCol w:w="109"/>
        <w:gridCol w:w="109"/>
        <w:gridCol w:w="211"/>
        <w:gridCol w:w="766"/>
        <w:gridCol w:w="241"/>
        <w:gridCol w:w="109"/>
        <w:gridCol w:w="109"/>
        <w:gridCol w:w="109"/>
        <w:gridCol w:w="211"/>
        <w:gridCol w:w="766"/>
        <w:gridCol w:w="286"/>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Segment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Sales in our North America segment were $820.5 million in the second quarter of 2026, an increase of $41.5 million from $779.0 million in the second quarter of 2025. Sales in the first six months of 2026 were $1,573.9 million, or $46.2 million higher than sales of $1,527.7 million in the same period last year. Compared to the prior year quarter, our net sales increase was primarily driven by the benefits of 2025 pricing actions, incremental sales of approximately $16 million from the 2026 acquisition of Leonard Valve, and increased boiler volumes partially offset by lower residential water heater volumes. Our net sales increase in the first six months compared to the prior year period was primarily driven by the benefits of 2025 pricing actions, incremental sales of approximately $32 million from the 2026 acquisition of Leonard Valve, and increased boiler volumes largely offset by lower residential water heater volumes.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North America segment earnings were $177.2 million in the second quarter of 2026, or $20.9 million lower than segment earnings of $198.1 million in the second quarter of 2025. North America segment earnings were $352.6 million in the first six months of 2026, or $30.7 million lower than segment earnings of $383.3 million in the first six months of 2025. Segment margins were 21.6 percent and 25.4 percent in the second quarter of 2026 and 2025, respectively. Segment margins were 22.4 percent and 25.1 percent in the first six months of 2026 and 2025, respectively. Adjusted segment earnings were $199.8 million in the second quarter of 2026 and $375.2 million for the first six months of 2026, with adjusted segment margins of 24.4% and 23.8%, respectively. These adjusted results exclude the $22.6 million of pretax restructuring and impairment charges as outlined above. Lower segment earnings and margins in the second quarter 2026 were driven by the restructuring and impairment charges. Lower segment earnings and segment margin in the first six months of 2026 were primarily driven by the restructuring and impairment charges, increased material and input cost including steel and lower residential water heater volumes that more than offset the pricing benefits of our 2025 pricing actions and the earnings contribution from Leonard Valve. We estimate our 2026 full year adjusted North America segment margin will be approximately 24 percent.</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 of World Segment</w:t>
      </w:r>
    </w:p>
    <w:tbl>
      <w:tblPr>
        <w:tblW w:w="7022" w:type="dxa"/>
        <w:jc w:val="left"/>
        <w:tblInd w:w="0" w:type="dxa"/>
        <w:tblLayout w:type="fixed"/>
        <w:tblCellMar>
          <w:top w:w="28" w:type="dxa"/>
          <w:left w:w="28" w:type="dxa"/>
          <w:bottom w:w="28" w:type="dxa"/>
          <w:right w:w="28" w:type="dxa"/>
        </w:tblCellMar>
      </w:tblPr>
      <w:tblGrid>
        <w:gridCol w:w="624"/>
        <w:gridCol w:w="548"/>
        <w:gridCol w:w="552"/>
        <w:gridCol w:w="211"/>
        <w:gridCol w:w="616"/>
        <w:gridCol w:w="241"/>
        <w:gridCol w:w="109"/>
        <w:gridCol w:w="109"/>
        <w:gridCol w:w="109"/>
        <w:gridCol w:w="211"/>
        <w:gridCol w:w="616"/>
        <w:gridCol w:w="241"/>
        <w:gridCol w:w="109"/>
        <w:gridCol w:w="109"/>
        <w:gridCol w:w="109"/>
        <w:gridCol w:w="211"/>
        <w:gridCol w:w="616"/>
        <w:gridCol w:w="241"/>
        <w:gridCol w:w="109"/>
        <w:gridCol w:w="109"/>
        <w:gridCol w:w="109"/>
        <w:gridCol w:w="211"/>
        <w:gridCol w:w="616"/>
        <w:gridCol w:w="286"/>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Segment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Sales in the Rest of World segment were $194.9 million in the second quarter of 2026, a decrease of $45.2 million from $240.1 million in the second quarter of 2025. Sales in the first six months of 2026 were $395.6 million, or $71.2 million lower than sales of $466.8 million in the same period last year. The decrease in sales in the second quarter of 2026 compared to the same period in 2025 was primarily due to lower sales in China that more than offset the favorable foreign currency translation impact of approximately $6 million resulting from the appreciation of foreign currencies compared to the U.S. dollar. The decrease in sales in the first six months of 2026 compared to same period in 2025 was primarily due to lower sales in China that more than offset the favorable foreign currency translation impact of approximately $14 million resulting from the appreciation of foreign currencies compared to the U.S. dollar.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 of World segment earnings were $10.2 million in the second quarter of 2026, or $15.1 million lower compared to $25.3 million in the second quarter of 2025. Segment earnings in the first six months of 2026 were $22.6 million, a decrease of $22.4 million compared to segment earnings of $45.0 million in the same period last year. Segment margins were 5.2 percent and 10.5 percent in the second quarter of 2026 and 2025, respectively. Segment margins were 5.7 percent and 9.6 percent in the first six months of 2026 and 2025, respectively. The lower segment earnings and segment margin in the second quarter and first six months of 2026 compared to the prior periods were primarily driven by lower sales in China due to continued weak consumer demand, partially offset by tight spending controls in China. We estimate our 2026 full year Rest of World segment margin will be approximately six to seven percent.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narrowed our full year sales growth outlook from our prior guidance of an increase of between two and four percent to an increase of between two and three percent. We have also narrowed our full-year diluted EPS to be between $3.60 and $3.75 from our prior guidance of between $3.60 and $3.90, and adjusted EPS to be between $3.70 and $3.85 from our prior guidance of between $3.70 and $4.00, reflecting persistent softness in the residential water heater industry volumes in North America. Our guidance excludes the impacts of potential future acquisitions, any potential outcomes of the assessment of the China business, and the potential impact of recently announced changes in tariff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&amp;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working capital was $517.6 million at June 30, 2026, compared with $429.0 million at December 31, 2025. The increase in working capital was primarily related to higher accounts receivable balances. As of June 30, 2026, cash balances were positively impacted by changes in foreign currency during the quarter of $1.2 million. Cash and cash equivalents used to fund our operations are primarily generated through operating activities and our existing credit facilities. We believe our available cash and existing credit facilities are sufficient to cover our cash needs for the foreseeable future. We use a global cash pooling arrangement, intercompany borrowing, and some local credit lines to meet funding needs and allocate capital resources among various entities. We have historically made and anticipate future cash repatriations from certain foreign subsidiaries. In the first six months of 2026, we repatriated approximately $38 million of cash from our foreign subsidiaries and used the proceeds to pay down outstanding debt balances.</w:t>
      </w:r>
    </w:p>
    <w:tbl>
      <w:tblPr>
        <w:tblW w:w="6173" w:type="dxa"/>
        <w:jc w:val="left"/>
        <w:tblInd w:w="0" w:type="dxa"/>
        <w:tblLayout w:type="fixed"/>
        <w:tblCellMar>
          <w:top w:w="28" w:type="dxa"/>
          <w:left w:w="28" w:type="dxa"/>
          <w:bottom w:w="28" w:type="dxa"/>
          <w:right w:w="28" w:type="dxa"/>
        </w:tblCellMar>
      </w:tblPr>
      <w:tblGrid>
        <w:gridCol w:w="1422"/>
        <w:gridCol w:w="1249"/>
        <w:gridCol w:w="1258"/>
        <w:gridCol w:w="211"/>
        <w:gridCol w:w="616"/>
        <w:gridCol w:w="109"/>
        <w:gridCol w:w="109"/>
        <w:gridCol w:w="109"/>
        <w:gridCol w:w="109"/>
        <w:gridCol w:w="211"/>
        <w:gridCol w:w="616"/>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Cash provided by operations in the first six months of 2026 was $253.8 million, an increase of $75.5 million from $178.3 million in the first six months of 2025, primarily due to working capital management that more than offset lower earnings. Our free cash flow in the first six months of 2026 and 2025 was $233.3 million and $139.9 million, respectively. We expect cash provided by operating activities to be between $595 million and $645 million in 2026. We expect free cash flow to be between $525 million and $575 million in 2026. Free cash flow is a non-GAAP measure described in more detail in the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 xml:space="preserve">section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expenditures totaled $20.5 million in the first six months of 2026 compared with $38.4 million in the same period last year. We project that 2026 capital expenditures will be approximately $60 to $70 million and full-year depreciation and amortization expense will be approximately $100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2024, we renewed and amended our $500 million revolving credit facility ("facility") which now expires on August 23, 2029. The facility is with a group of nine banks and has an accordion provision that allows it to be increased up to $1 billion if certain conditions (including lender approval) are satisfied. Borrowing rates under the facility are determined by our leverage ratio. The facility requires us to maintain two financial covenants, a leverage ratio test and an interest coverage test, and we were in compliance with the covenants as of June 30, 2026, and expect to be in compliance for the foreseeable future. The facility backs up commercial paper and credit line borrowings. At June 30, 2026, we had $40.0 million borrowings outstanding under the facility and an available borrowing capacity of $460.0 million. We believe the combination of available borrowing capacity and operating cash flows will provide sufficient funds to finance our existing operations for the foreseeable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we completed the acquisition of Leonard Valve for $470 million. The acquisition was funded under a new three-year, $470 million term loan with a group of eight banks. The Company borrowed the full available amount and used the proceeds to finance the purchase. Our leverage, as measured by the ratio of total debt to total capitalization, was 25.7 percent at June 30, 2026, compared with 7.7 percent at December 31, 2025. Our total debt increased by $482.5 million in the first six months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our Board of Directors approved adding 5,000,000 shares of common stock to the existing discretionary share repurchase authority. Under the share repurchase program, common stock may be purchased through a combination of Rule 10b5-1 automatic trading plan and discretionary purchases in accordance with applicable securities laws. The stock repurchase authorization remains effective until terminated by our Board of Directors which may occur at any time, subject to the parameters of any Rule 10b5-1 automatic trading plan that we may then have in effect. During the second quarter of 2026, we repurchased 1,885,727 shares at an average price of $58.93 per share and at a total cost of $111.1 million. As of June 30, 2026, there were 3,202,304 shares remaining on the existing repurchase authorization. Depending on factors such as stock price, working capital requirements, and alternative investment opportunities, we expect to spend approximately $300 million on stock repurchases in 2026 through a combination of any Rule 10b5-1 automatic trading plan and open market repurchases.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13, 2026, our Board of Directors declared a regular quarterly cash dividend of $0.36 per share on our Common Stock and Class A common stock. The dividend is payable on August 17, 2026, to shareholders of record on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Non-GAAP Financial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providing non-U.S. Generally Accepted Accounting Principles (GAAP) measures (adjusted earnings, adjusted EPS, total segment earnings and adjusted segment earnings) that exclude the impact of restructuring and impairment expenses. Reconciliations from GAAP measures to non-GAAP measures are provided below. We believe that the measure of adjusted earnings, adjusted EPS, and adjusted segment earnings provide useful information to investors about our performance and allow management and our investors to better understand our performance between periods without regard to items that we do not consider to be a component of our core operating performance or recurring in nature.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Organic sales growth (decline) is a non-GAAP financial measure of sales growth (decline) excluding the effects of acquisitions and divestitures and foreign exchange from year-over-year comparisons. We believe this measure provides investors with a supplemental understanding of underlying sales trends by providing sales growth (decline) on a consistent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Free cash flow is cash provided by operations less capital expenditures. We believe that free cash flow provides useful additional information concerning cash flow available to meet future debt service obligations and working capital requirements.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Earnings and Adjusted Earnings Per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earnings and diluted earnings per share to adjusted earnings (non-GAAP) and adjusted earnings per share (non-GAAP):</w:t>
      </w:r>
    </w:p>
    <w:tbl>
      <w:tblPr>
        <w:tblW w:w="10205" w:type="dxa"/>
        <w:jc w:val="left"/>
        <w:tblInd w:w="0" w:type="dxa"/>
        <w:tblLayout w:type="fixed"/>
        <w:tblCellMar>
          <w:top w:w="28" w:type="dxa"/>
          <w:left w:w="28" w:type="dxa"/>
          <w:bottom w:w="28" w:type="dxa"/>
          <w:right w:w="28" w:type="dxa"/>
        </w:tblCellMar>
      </w:tblPr>
      <w:tblGrid>
        <w:gridCol w:w="1799"/>
        <w:gridCol w:w="1529"/>
        <w:gridCol w:w="1534"/>
        <w:gridCol w:w="118"/>
        <w:gridCol w:w="118"/>
        <w:gridCol w:w="118"/>
        <w:gridCol w:w="308"/>
        <w:gridCol w:w="308"/>
        <w:gridCol w:w="118"/>
        <w:gridCol w:w="118"/>
        <w:gridCol w:w="118"/>
        <w:gridCol w:w="118"/>
        <w:gridCol w:w="118"/>
        <w:gridCol w:w="118"/>
        <w:gridCol w:w="118"/>
        <w:gridCol w:w="308"/>
        <w:gridCol w:w="308"/>
        <w:gridCol w:w="118"/>
        <w:gridCol w:w="109"/>
        <w:gridCol w:w="109"/>
        <w:gridCol w:w="109"/>
        <w:gridCol w:w="109"/>
        <w:gridCol w:w="109"/>
        <w:gridCol w:w="109"/>
        <w:gridCol w:w="308"/>
        <w:gridCol w:w="308"/>
        <w:gridCol w:w="109"/>
        <w:gridCol w:w="109"/>
        <w:gridCol w:w="109"/>
        <w:gridCol w:w="109"/>
        <w:gridCol w:w="109"/>
        <w:gridCol w:w="109"/>
        <w:gridCol w:w="109"/>
        <w:gridCol w:w="308"/>
        <w:gridCol w:w="308"/>
        <w:gridCol w:w="164"/>
      </w:tblGrid>
      <w:tr>
        <w:trPr/>
        <w:tc>
          <w:tcPr>
            <w:tcW w:w="179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8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(GAAP)</w:t>
            </w:r>
          </w:p>
        </w:tc>
        <w:tc>
          <w:tcPr>
            <w:tcW w:w="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 before tax</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on above items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(non-GAAP)</w:t>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Earnings Per Share (GAAP)</w:t>
            </w:r>
            <w:r>
              <w:rPr>
                <w:rFonts w:ascii="Times New Roman;serif" w:hAnsi="Times New Roman;serif"/>
                <w:b/>
                <w:color w:val="000000"/>
                <w:sz w:val="13"/>
              </w:rPr>
              <w:t>(1)</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 per diluted share, before tax</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on above items per diluted share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Earnings Per Share (non-GAAP)</w:t>
            </w:r>
            <w:r>
              <w:rPr>
                <w:rFonts w:ascii="Times New Roman;serif" w:hAnsi="Times New Roman;serif"/>
                <w:b/>
                <w:color w:val="000000"/>
                <w:sz w:val="13"/>
              </w:rPr>
              <w:t>(1)</w:t>
            </w:r>
          </w:p>
        </w:tc>
        <w:tc>
          <w:tcPr>
            <w:tcW w:w="3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Earnings per share amounts are calculated discretely and, therefore, may not add up to the total due to rounding.</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Sales Growth (Decline)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net sales growth (decline):</w:t>
      </w:r>
    </w:p>
    <w:tbl>
      <w:tblPr>
        <w:tblW w:w="8231" w:type="dxa"/>
        <w:jc w:val="left"/>
        <w:tblInd w:w="0" w:type="dxa"/>
        <w:tblLayout w:type="fixed"/>
        <w:tblCellMar>
          <w:top w:w="28" w:type="dxa"/>
          <w:left w:w="28" w:type="dxa"/>
          <w:bottom w:w="28" w:type="dxa"/>
          <w:right w:w="28" w:type="dxa"/>
        </w:tblCellMar>
      </w:tblPr>
      <w:tblGrid>
        <w:gridCol w:w="1459"/>
        <w:gridCol w:w="1279"/>
        <w:gridCol w:w="1282"/>
        <w:gridCol w:w="287"/>
        <w:gridCol w:w="287"/>
        <w:gridCol w:w="715"/>
        <w:gridCol w:w="153"/>
        <w:gridCol w:w="153"/>
        <w:gridCol w:w="153"/>
        <w:gridCol w:w="274"/>
        <w:gridCol w:w="274"/>
        <w:gridCol w:w="682"/>
        <w:gridCol w:w="153"/>
        <w:gridCol w:w="153"/>
        <w:gridCol w:w="153"/>
        <w:gridCol w:w="165"/>
        <w:gridCol w:w="165"/>
        <w:gridCol w:w="444"/>
      </w:tblGrid>
      <w:tr>
        <w:trPr/>
        <w:tc>
          <w:tcPr>
            <w:tcW w:w="14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Growth (Decline)</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Acquisition Impact</w:t>
            </w:r>
            <w:r>
              <w:rPr>
                <w:rFonts w:ascii="Times New Roman;serif" w:hAnsi="Times New Roman;serif"/>
                <w:b w:val="false"/>
                <w:color w:val="000000"/>
                <w:sz w:val="13"/>
              </w:rPr>
              <w:t>(1)</w:t>
            </w:r>
          </w:p>
        </w:tc>
        <w:tc>
          <w:tcPr>
            <w:tcW w:w="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Exchange Impact</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Organic Sales Growth (Decline) (non-GAAP)</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142" w:type="dxa"/>
        <w:jc w:val="left"/>
        <w:tblInd w:w="0" w:type="dxa"/>
        <w:tblLayout w:type="fixed"/>
        <w:tblCellMar>
          <w:top w:w="28" w:type="dxa"/>
          <w:left w:w="28" w:type="dxa"/>
          <w:bottom w:w="28" w:type="dxa"/>
          <w:right w:w="28" w:type="dxa"/>
        </w:tblCellMar>
      </w:tblPr>
      <w:tblGrid>
        <w:gridCol w:w="1459"/>
        <w:gridCol w:w="1279"/>
        <w:gridCol w:w="1282"/>
        <w:gridCol w:w="287"/>
        <w:gridCol w:w="287"/>
        <w:gridCol w:w="715"/>
        <w:gridCol w:w="143"/>
        <w:gridCol w:w="143"/>
        <w:gridCol w:w="143"/>
        <w:gridCol w:w="274"/>
        <w:gridCol w:w="274"/>
        <w:gridCol w:w="682"/>
        <w:gridCol w:w="143"/>
        <w:gridCol w:w="143"/>
        <w:gridCol w:w="143"/>
        <w:gridCol w:w="165"/>
        <w:gridCol w:w="165"/>
        <w:gridCol w:w="415"/>
      </w:tblGrid>
      <w:tr>
        <w:trPr/>
        <w:tc>
          <w:tcPr>
            <w:tcW w:w="14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Growth (Decline)</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Acquisition Impact</w:t>
            </w:r>
            <w:r>
              <w:rPr>
                <w:rFonts w:ascii="Times New Roman;serif" w:hAnsi="Times New Roman;serif"/>
                <w:b w:val="false"/>
                <w:color w:val="000000"/>
                <w:sz w:val="13"/>
              </w:rPr>
              <w:t>(1)</w:t>
            </w:r>
          </w:p>
        </w:tc>
        <w:tc>
          <w:tcPr>
            <w:tcW w:w="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Exchange Impact</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Organic Sales Growth (Decline) (non-GAAP)</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acquisition effect includes the sales impact of the Leonard Valve acquisition in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Segment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reported earnings before provision for income taxes to total segment earnings (non-GAAP) and adjusted segment earnings (non-GAAP):</w:t>
      </w:r>
    </w:p>
    <w:tbl>
      <w:tblPr>
        <w:tblW w:w="10015" w:type="dxa"/>
        <w:jc w:val="left"/>
        <w:tblInd w:w="0" w:type="dxa"/>
        <w:tblLayout w:type="fixed"/>
        <w:tblCellMar>
          <w:top w:w="28" w:type="dxa"/>
          <w:left w:w="28" w:type="dxa"/>
          <w:bottom w:w="28" w:type="dxa"/>
          <w:right w:w="28" w:type="dxa"/>
        </w:tblCellMar>
      </w:tblPr>
      <w:tblGrid>
        <w:gridCol w:w="1682"/>
        <w:gridCol w:w="1481"/>
        <w:gridCol w:w="1486"/>
        <w:gridCol w:w="121"/>
        <w:gridCol w:w="121"/>
        <w:gridCol w:w="121"/>
        <w:gridCol w:w="308"/>
        <w:gridCol w:w="308"/>
        <w:gridCol w:w="121"/>
        <w:gridCol w:w="121"/>
        <w:gridCol w:w="121"/>
        <w:gridCol w:w="121"/>
        <w:gridCol w:w="121"/>
        <w:gridCol w:w="121"/>
        <w:gridCol w:w="121"/>
        <w:gridCol w:w="308"/>
        <w:gridCol w:w="308"/>
        <w:gridCol w:w="121"/>
        <w:gridCol w:w="109"/>
        <w:gridCol w:w="109"/>
        <w:gridCol w:w="109"/>
        <w:gridCol w:w="109"/>
        <w:gridCol w:w="109"/>
        <w:gridCol w:w="109"/>
        <w:gridCol w:w="308"/>
        <w:gridCol w:w="308"/>
        <w:gridCol w:w="109"/>
        <w:gridCol w:w="109"/>
        <w:gridCol w:w="109"/>
        <w:gridCol w:w="109"/>
        <w:gridCol w:w="109"/>
        <w:gridCol w:w="109"/>
        <w:gridCol w:w="109"/>
        <w:gridCol w:w="308"/>
        <w:gridCol w:w="308"/>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 (GAAP)</w:t>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Corporate expense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Earnings (non-GAAP)</w:t>
            </w:r>
          </w:p>
        </w:tc>
        <w:tc>
          <w:tcPr>
            <w:tcW w:w="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earnings elimination</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Earnings (non-GAAP)</w:t>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Information</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North America Segment Earnings </w:t>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 before tax</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North America Segment Earnings (non-GAAP)</w:t>
            </w:r>
          </w:p>
        </w:tc>
        <w:tc>
          <w:tcPr>
            <w:tcW w:w="3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reported cash flow from operating activities to free cash flow (non-GAAP):</w:t>
      </w:r>
    </w:p>
    <w:tbl>
      <w:tblPr>
        <w:tblW w:w="6465" w:type="dxa"/>
        <w:jc w:val="left"/>
        <w:tblInd w:w="0" w:type="dxa"/>
        <w:tblLayout w:type="fixed"/>
        <w:tblCellMar>
          <w:top w:w="28" w:type="dxa"/>
          <w:left w:w="28" w:type="dxa"/>
          <w:bottom w:w="28" w:type="dxa"/>
          <w:right w:w="28" w:type="dxa"/>
        </w:tblCellMar>
      </w:tblPr>
      <w:tblGrid>
        <w:gridCol w:w="1442"/>
        <w:gridCol w:w="1269"/>
        <w:gridCol w:w="1278"/>
        <w:gridCol w:w="109"/>
        <w:gridCol w:w="109"/>
        <w:gridCol w:w="109"/>
        <w:gridCol w:w="308"/>
        <w:gridCol w:w="308"/>
        <w:gridCol w:w="109"/>
        <w:gridCol w:w="109"/>
        <w:gridCol w:w="109"/>
        <w:gridCol w:w="109"/>
        <w:gridCol w:w="109"/>
        <w:gridCol w:w="109"/>
        <w:gridCol w:w="109"/>
        <w:gridCol w:w="308"/>
        <w:gridCol w:w="308"/>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operating activities (GAAP)</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(non-GAAP)</w:t>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 Adjusted EPS Guidance and 2025 EPS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diluted EPS to adjusted EPS (non-GAAP) (all items are net of tax):</w:t>
      </w:r>
    </w:p>
    <w:tbl>
      <w:tblPr>
        <w:tblW w:w="6301" w:type="dxa"/>
        <w:jc w:val="left"/>
        <w:tblInd w:w="0" w:type="dxa"/>
        <w:tblLayout w:type="fixed"/>
        <w:tblCellMar>
          <w:top w:w="28" w:type="dxa"/>
          <w:left w:w="28" w:type="dxa"/>
          <w:bottom w:w="28" w:type="dxa"/>
          <w:right w:w="28" w:type="dxa"/>
        </w:tblCellMar>
      </w:tblPr>
      <w:tblGrid>
        <w:gridCol w:w="1204"/>
        <w:gridCol w:w="1058"/>
        <w:gridCol w:w="1067"/>
        <w:gridCol w:w="147"/>
        <w:gridCol w:w="147"/>
        <w:gridCol w:w="147"/>
        <w:gridCol w:w="291"/>
        <w:gridCol w:w="291"/>
        <w:gridCol w:w="303"/>
        <w:gridCol w:w="109"/>
        <w:gridCol w:w="109"/>
        <w:gridCol w:w="109"/>
        <w:gridCol w:w="109"/>
        <w:gridCol w:w="109"/>
        <w:gridCol w:w="109"/>
        <w:gridCol w:w="109"/>
        <w:gridCol w:w="109"/>
        <w:gridCol w:w="109"/>
        <w:gridCol w:w="255"/>
        <w:gridCol w:w="25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br/>
              <w:t>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 (GAAP)</w:t>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 (non-GAAP)</w:t>
            </w:r>
          </w:p>
        </w:tc>
        <w:tc>
          <w:tcPr>
            <w:tcW w:w="4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North America water treatment pre-tax restructuring and impairment expenses of approximately $20.0 million of which $22.6 million was recognized in the second quarter. Anticipated proceeds from the sale of certain assets are expected to occur in late 2026.</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Critical Accounting Policies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conformity with accounting principles generally accepted in the U.S., which requires the use of estimates and assumptions about future events that affect the amounts reported in the financial statements and accompanying notes. Future events and their effects cannot be determined with absolute certainty. Therefore, the determination of estimates requires the exercise of judgment. Actual results inevitably will differ from those estimates, and such differences may be material to the financial statements. The critical accounting policies that we believe could have the most significant effect on our reported results or require complex judgment by management are contained in Item 7, Management’s Discussion and Analysis of Financial Condition and Results of Operations, of our Annual Report on Form 10-K for the year ended December 31, 2025. We believe that at June 30, 2026, there was no material change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20" w:after="283"/>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 xml:space="preserve">Recent Accounting Pronouncements </w:t>
      </w:r>
      <w:r>
        <w:rPr>
          <w:rFonts w:ascii="Times New Roman;serif" w:hAnsi="Times New Roman;serif"/>
          <w:b w:val="false"/>
          <w:color w:val="000000"/>
          <w:sz w:val="20"/>
        </w:rPr>
        <w:t>in Note 1 – Basis of Presentation in the notes to our condensed consolidated financial statements included in Part 1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Forward Looking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filing contains statements that the Company believes are “forward-looking statements” within the meaning of the Private Securities Litigation Reform Act of 1995. Forward-looking statements generally can be identified by the use of words such as “may,” “will,” “expect,” “intend,” “estimate,” “anticipate,” “believe,” “forecast,” “continue,” “guidance,” “outlook”, “confident” or words of similar meaning. All forward-looking statements are subject to risks and uncertainties that could cause actual results to differ materially from those anticipated as of the date of this filing. Important factors that could cause actual results to differ materially from these expectations include, among other things, the following: further softening in U.S. residential and commercial water heater demand; further weakening in North American residential or commercial construction or instability in the Company’s replacement markets; failure to realize the expected benefits of acquisitions or expected synergies; difficulties in predicting results of operations of an acquired business; negative impact to the Company’s businesses from international tariffs, including any new or increased tariffs that could also trigger retaliatory responses from other countries, as well as trade disputes and geopolitical differences, including the conflicts in Ukraine and the Middle East; negative impacts to the Company, particularly the demand for its products, resulting from global inflationary pressures or a potential recession in one or more of the markets in which the Company participates; the Company’s ability to continue to obtain commodities, components, parts and accessories on a timely basis through its supply chain and at expected costs, including the recent volatility in fuel and other material prices; inability of the Company to implement or maintain pricing actions; inconsistent recovery of the Chinese economy or a further decline in the growth rate of consumer spending or housing sales in China; the availability, timing or effects of China stimulus programs; uncertain outcomes and costs and other potential impacts of the Company’s assessment relating to the Company’s China business; the failure to realize the expected benefits of restructuring actions; further weakening in the high-efficiency gas boiler segment in the U.S.; substantial defaults in payment by, material reduction in purchases by or the loss, bankruptcy or insolvency of a major customer; foreign currency fluctuations; failure to realize the expected benefits, timing and extent of regulatory changes; competitive pressures on the Company’s businesses, including new technologies and new competitors; the impact of potential information technology or data security breaches; negative impact of changes in government regulations or regulatory requirements; the inability to respond to secular trends toward decarbonization and energy efficiency; and adverse developments in general economic, political and business conditions in key regions of the world. A more detailed description of these risks is contained under the heading "Risk Factors" in the Company's Annual Report on Form 10-K for the year ended December 31, 2025. Forward-looking statements included in this filing are made only as of the date of this filing,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3 -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is more fully described in our Annual Report on Form 10-K for the year ended December 31, 2025, we are exposed to various types of market risks, including currency and certain commodity risks. Our quantitative and qualitative disclosures about market risk have not materially changed since that report was filed. We monitor our currency and commodity risks on a continuous basis and generally enter into forward and futures contracts to minimize these exposures. The majority of the contracts are for periods of less than one year. Our Company does not engage in speculation in our derivative strategies. It is important to note that gains and losses from our forward and futures contract activities are offset by changes in the underlying costs of the transactions being hedged.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4 -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principal executive officer and principal financial officer, we conducted an evaluation of our disclosure controls and procedures, as such term is defined under Rule13a-15(e) promulgated under the Securities Exchange Act of 1934, as amended (Exchange Act). Based upon this evaluation of these disclosure controls and procedures, our principal executive officer and principal financial officer concluded that the disclosure controls and procedures were effective as of June 30, 2026 to ensure that information required to be disclosed by us in the reports we file or submit under the Exchange Act is recorded, processed, summarized and reported, within the time period specified in the SEC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disclosure.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u w:val="single"/>
        </w:rPr>
        <w:t>PART II - OTHER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val="false"/>
          <w:color w:val="000000"/>
          <w:sz w:val="20"/>
          <w:u w:val="single"/>
        </w:rPr>
        <w:t>ITEM 1 - LEGAL PROCEEDINGS</w:t>
      </w:r>
      <w:r>
        <w:rPr>
          <w:color w:val="000000"/>
        </w:rPr>
        <w:t xml:space="preserve">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legal and environmental matters discussed in Part 1, Item 3 and Note 15 of the Notes to Consolidated Financial Statements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val="false"/>
          <w:color w:val="000000"/>
          <w:sz w:val="20"/>
          <w:u w:val="single"/>
        </w:rPr>
        <w:t>ITEM 2 - UNREGISTERED SALES OF EQUITY SECURITIES, USE OF PROCEEDS, AND ISSUER PURCHASES OF EQUITY SECURITIES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our Board of Directors approved adding 5,000,000 shares of common stock to the existing discretionary share repurchase authority. Under the share repurchase program, the Common Stock may be purchased through a combination of Rule 10b5-1 automatic trading plan and discretionary purchases in accordance with applicable securities laws. The number of shares purchased and the timing of the purchases will depend on a number of factors, including share price, trading volume and general market conditions, as well as working capital requirements, general business conditions and other factors, including alternative investment opportunities. The stock repurchase authorization remains effective until terminated by our Board of Directors which may occur at any time, subject to the parameters of any Rule 10b5-1 automatic trading plan that we may then have in effect. In the second quarter of 2026, we repurchased 1,885,727 shares at an average price of $58.93 per share and at a total cost of $111.1 million. As of June 30, 2026, there were 3,202,304 shares remaining on the existing repurchase authorization.</w:t>
      </w:r>
    </w:p>
    <w:tbl>
      <w:tblPr>
        <w:tblW w:w="10205" w:type="dxa"/>
        <w:jc w:val="left"/>
        <w:tblInd w:w="0" w:type="dxa"/>
        <w:tblLayout w:type="fixed"/>
        <w:tblCellMar>
          <w:top w:w="28" w:type="dxa"/>
          <w:left w:w="28" w:type="dxa"/>
          <w:bottom w:w="28" w:type="dxa"/>
          <w:right w:w="28" w:type="dxa"/>
        </w:tblCellMar>
      </w:tblPr>
      <w:tblGrid>
        <w:gridCol w:w="348"/>
        <w:gridCol w:w="305"/>
        <w:gridCol w:w="308"/>
        <w:gridCol w:w="733"/>
        <w:gridCol w:w="459"/>
        <w:gridCol w:w="460"/>
        <w:gridCol w:w="115"/>
        <w:gridCol w:w="115"/>
        <w:gridCol w:w="115"/>
        <w:gridCol w:w="288"/>
        <w:gridCol w:w="842"/>
        <w:gridCol w:w="148"/>
        <w:gridCol w:w="115"/>
        <w:gridCol w:w="115"/>
        <w:gridCol w:w="115"/>
        <w:gridCol w:w="1008"/>
        <w:gridCol w:w="796"/>
        <w:gridCol w:w="798"/>
        <w:gridCol w:w="115"/>
        <w:gridCol w:w="115"/>
        <w:gridCol w:w="115"/>
        <w:gridCol w:w="995"/>
        <w:gridCol w:w="691"/>
        <w:gridCol w:w="991"/>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ISSUER PURCHASES OF EQUITY SECURITIES</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Period</w:t>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Publicly Announced Plans or Programs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Number of Shares that may yet be Purchased Under the Plans or Programs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238,235 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238,235 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4,849,796 </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1,296,311 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1,296,311 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3,553,485 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351,181 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351,181 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3,202,304 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Inflation Reduction Act of 2022, which was enacted into law on August 16, 2022, imposed a nondeductible 1% excise tax on the net value of certain stock repurchases made after December 31, 2022. All dollar amounts presented exclude such excise taxes,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5 -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none of our directors or Section 16 officers adopted or terminated a “Rule 10b5-1trading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val="false"/>
          <w:color w:val="000000"/>
          <w:sz w:val="20"/>
          <w:u w:val="single"/>
        </w:rPr>
        <w:t>ITEM 6 - EXHIBITS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the Exhibit Index on page 30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u w:val="single"/>
        </w:rPr>
        <w:t>INDEX TO 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3341"/>
        <w:gridCol w:w="2386"/>
        <w:gridCol w:w="3385"/>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38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60630xex311.htm">
              <w:r>
                <w:rPr>
                  <w:rStyle w:val="InternetLink"/>
                  <w:rFonts w:ascii="Times New Roman;serif" w:hAnsi="Times New Roman;serif"/>
                  <w:b w:val="false"/>
                  <w:color w:val="0000FF"/>
                  <w:sz w:val="20"/>
                  <w:u w:val="single"/>
                </w:rPr>
                <w:t>Certification of the Chief Executive Officer pursuant to Rule 13a-14(a) of the Securities Exchange Act of 1934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60630xex312.htm">
              <w:r>
                <w:rPr>
                  <w:rStyle w:val="InternetLink"/>
                  <w:rFonts w:ascii="Times New Roman;serif" w:hAnsi="Times New Roman;serif"/>
                  <w:b w:val="false"/>
                  <w:color w:val="0000FF"/>
                  <w:sz w:val="20"/>
                  <w:u w:val="single"/>
                </w:rPr>
                <w:t>Certification of the Chief Financial Officer pursuant to Rule 13a-14(a) of the Securities Exchange Act of 1934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60630xex321.htm">
              <w:r>
                <w:rPr>
                  <w:rStyle w:val="InternetLink"/>
                  <w:rFonts w:ascii="Times New Roman;serif" w:hAnsi="Times New Roman;serif"/>
                  <w:b w:val="false"/>
                  <w:color w:val="0000FF"/>
                  <w:sz w:val="20"/>
                  <w:u w:val="single"/>
                </w:rPr>
                <w:t>Written Statement of the Chief Executive Officer Pursuant to 18 U.S.C. Section 1350</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60630xex322.htm">
              <w:r>
                <w:rPr>
                  <w:rStyle w:val="InternetLink"/>
                  <w:rFonts w:ascii="Times New Roman;serif" w:hAnsi="Times New Roman;serif"/>
                  <w:b w:val="false"/>
                  <w:color w:val="0000FF"/>
                  <w:sz w:val="20"/>
                  <w:u w:val="single"/>
                </w:rPr>
                <w:t>Written Statement of the Chief Financial Officer Pursuant to 18 U.S.C. Section 1350</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A. O. Smith Corporation’s Quarterly Report on Form 10-Q for the quarter ended June 30, 2026 are filed herewith, formatted in XBRL (Extensive Business Reporting Language): (i) the Condensed Consolidated Statement of Earnings for the three and six months ended June 30, 2026 and 2025, (ii) the Condensed Consolidated Statement of Comprehensive Earnings for the three and six months ended June 30, 2026 and 2025, (iii) the Condensed Consolidated Balance Sheets as of June 30, 2026, and December 31, 2025 (iv) the Condensed Consolidated Statement of Cash Flows for the six months ended June 30, 2026 and 2025 (v) the Condensed Consolidated Statement of Stockholders’ Equity for the three and six months ended June 30, 2026 and 2025 (vi) the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ce0c416f94d4a419612cc9525f86b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SIGNATURES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authorized this report to be signed on its behalf by the undersigned. </w:t>
      </w:r>
    </w:p>
    <w:tbl>
      <w:tblPr>
        <w:tblW w:w="5669" w:type="dxa"/>
        <w:jc w:val="left"/>
        <w:tblInd w:w="0" w:type="dxa"/>
        <w:tblLayout w:type="fixed"/>
        <w:tblCellMar>
          <w:top w:w="28" w:type="dxa"/>
          <w:left w:w="28" w:type="dxa"/>
          <w:bottom w:w="28" w:type="dxa"/>
          <w:right w:w="28" w:type="dxa"/>
        </w:tblCellMar>
      </w:tblPr>
      <w:tblGrid>
        <w:gridCol w:w="443"/>
        <w:gridCol w:w="390"/>
        <w:gridCol w:w="396"/>
        <w:gridCol w:w="1300"/>
        <w:gridCol w:w="1300"/>
        <w:gridCol w:w="1840"/>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 O. SMITH CORPORATION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A. Otchere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 Otchere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Carrie L. Anderson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Carrie L. Anderson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Stephen M. Shafer,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 O. Smith Corporation;</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July 30, 2026 </w:t>
      </w:r>
    </w:p>
    <w:tbl>
      <w:tblPr>
        <w:tblW w:w="4436" w:type="dxa"/>
        <w:jc w:val="left"/>
        <w:tblInd w:w="0" w:type="dxa"/>
        <w:tblLayout w:type="fixed"/>
        <w:tblCellMar>
          <w:top w:w="28" w:type="dxa"/>
          <w:left w:w="28" w:type="dxa"/>
          <w:bottom w:w="28" w:type="dxa"/>
          <w:right w:w="28" w:type="dxa"/>
        </w:tblCellMar>
      </w:tblPr>
      <w:tblGrid>
        <w:gridCol w:w="1469"/>
        <w:gridCol w:w="1295"/>
        <w:gridCol w:w="1300"/>
        <w:gridCol w:w="109"/>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M. Shafer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M. Shafer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Carrie L. Anderson,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 O. Smith Corporation;</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bl>
      <w:tblPr>
        <w:tblW w:w="4781" w:type="dxa"/>
        <w:jc w:val="left"/>
        <w:tblInd w:w="0" w:type="dxa"/>
        <w:tblLayout w:type="fixed"/>
        <w:tblCellMar>
          <w:top w:w="28" w:type="dxa"/>
          <w:left w:w="28" w:type="dxa"/>
          <w:bottom w:w="28" w:type="dxa"/>
          <w:right w:w="28" w:type="dxa"/>
        </w:tblCellMar>
      </w:tblPr>
      <w:tblGrid>
        <w:gridCol w:w="1596"/>
        <w:gridCol w:w="1404"/>
        <w:gridCol w:w="1409"/>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Carrie L. Anderson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Carrie L. Anderson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Written Statement of the Chief Executive Officer Pursuant to 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18 U.S.C. Section 1350, the undersigned certifies that to the best of my knowledge: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A. O. Smith Corporation for the quarter ended June 30, 2026 (the "Report") fully complies with the requirements of Section 13(a) or Section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 O. Smith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bl>
      <w:tblPr>
        <w:tblW w:w="4436" w:type="dxa"/>
        <w:jc w:val="left"/>
        <w:tblInd w:w="0" w:type="dxa"/>
        <w:tblLayout w:type="fixed"/>
        <w:tblCellMar>
          <w:top w:w="28" w:type="dxa"/>
          <w:left w:w="28" w:type="dxa"/>
          <w:bottom w:w="28" w:type="dxa"/>
          <w:right w:w="28" w:type="dxa"/>
        </w:tblCellMar>
      </w:tblPr>
      <w:tblGrid>
        <w:gridCol w:w="1469"/>
        <w:gridCol w:w="1295"/>
        <w:gridCol w:w="1300"/>
        <w:gridCol w:w="109"/>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M. Shafer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M. Shafer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Written Statement of the Chief Financial Officer Pursuant to 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18 U.S.C. Section 1350, the undersigned certifies that to the best of my knowledge: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A. O. Smith Corporation for the quarter ended June 30, 2026 (the "Report") fully complies with the requirements of Section 13(a) or Section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 O. Smith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bl>
      <w:tblPr>
        <w:tblW w:w="4781" w:type="dxa"/>
        <w:jc w:val="left"/>
        <w:tblInd w:w="0" w:type="dxa"/>
        <w:tblLayout w:type="fixed"/>
        <w:tblCellMar>
          <w:top w:w="28" w:type="dxa"/>
          <w:left w:w="28" w:type="dxa"/>
          <w:bottom w:w="28" w:type="dxa"/>
          <w:right w:w="28" w:type="dxa"/>
        </w:tblCellMar>
      </w:tblPr>
      <w:tblGrid>
        <w:gridCol w:w="1596"/>
        <w:gridCol w:w="1404"/>
        <w:gridCol w:w="1409"/>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Carrie L. Anderson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Carrie L. Anderson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15421</Words>
  <Characters>84128</Characters>
  <CharactersWithSpaces>98305</CharactersWithSpaces>
  <Paragraphs>2317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