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56" w:after="283"/>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11" w:after="283"/>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13" w:after="283"/>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8-K</w:t>
      </w:r>
    </w:p>
    <w:p>
      <w:pPr>
        <w:pStyle w:val="TextBody"/>
        <w:bidi w:val="0"/>
        <w:spacing w:lineRule="auto" w:line="288" w:before="120" w:after="283"/>
        <w:jc w:val="center"/>
        <w:rPr>
          <w:color w:val="000000"/>
        </w:rPr>
      </w:pPr>
      <w:r>
        <w:rPr>
          <w:color w:val="000000"/>
        </w:rPr>
        <w:t>——————————————</w:t>
      </w:r>
    </w:p>
    <w:p>
      <w:pPr>
        <w:pStyle w:val="TextBody"/>
        <w:bidi w:val="0"/>
        <w:spacing w:lineRule="auto" w:line="273" w:before="187"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71"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73"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before="5" w:after="283"/>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30, 2026</w:t>
      </w:r>
    </w:p>
    <w:p>
      <w:pPr>
        <w:pStyle w:val="TextBody"/>
        <w:bidi w:val="0"/>
        <w:spacing w:lineRule="auto" w:line="288" w:before="120" w:after="283"/>
        <w:jc w:val="center"/>
        <w:rPr>
          <w:color w:val="000000"/>
        </w:rPr>
      </w:pPr>
      <w:r>
        <w:rPr>
          <w:color w:val="000000"/>
        </w:rPr>
        <w:t>——————————————</w:t>
      </w:r>
    </w:p>
    <w:p>
      <w:pPr>
        <w:pStyle w:val="TextBody"/>
        <w:bidi w:val="0"/>
        <w:spacing w:lineRule="auto" w:line="288" w:before="173" w:after="283"/>
        <w:jc w:val="center"/>
        <w:rPr>
          <w:rFonts w:ascii="Times New Roman;serif" w:hAnsi="Times New Roman;serif"/>
          <w:b/>
          <w:color w:val="000000"/>
          <w:sz w:val="46"/>
        </w:rPr>
      </w:pPr>
      <w:r>
        <w:rPr>
          <w:rFonts w:ascii="Times New Roman;serif" w:hAnsi="Times New Roman;serif"/>
          <w:b/>
          <w:color w:val="000000"/>
          <w:sz w:val="46"/>
        </w:rPr>
        <w:t>A. O. Smith Corporation</w:t>
      </w:r>
    </w:p>
    <w:p>
      <w:pPr>
        <w:pStyle w:val="TextBody"/>
        <w:bidi w:val="0"/>
        <w:spacing w:lineRule="auto" w:line="288" w:before="49"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120" w:after="283"/>
        <w:jc w:val="center"/>
        <w:rPr>
          <w:color w:val="000000"/>
        </w:rPr>
      </w:pPr>
      <w:r>
        <w:rPr>
          <w:color w:val="000000"/>
        </w:rPr>
        <w:t>——————————————</w:t>
      </w:r>
    </w:p>
    <w:tbl>
      <w:tblPr>
        <w:tblW w:w="5271" w:type="dxa"/>
        <w:jc w:val="center"/>
        <w:tblInd w:w="0" w:type="dxa"/>
        <w:tblLayout w:type="fixed"/>
        <w:tblCellMar>
          <w:top w:w="28" w:type="dxa"/>
          <w:left w:w="28" w:type="dxa"/>
          <w:bottom w:w="28" w:type="dxa"/>
          <w:right w:w="28" w:type="dxa"/>
        </w:tblCellMar>
      </w:tblPr>
      <w:tblGrid>
        <w:gridCol w:w="748"/>
        <w:gridCol w:w="658"/>
        <w:gridCol w:w="663"/>
        <w:gridCol w:w="109"/>
        <w:gridCol w:w="109"/>
        <w:gridCol w:w="109"/>
        <w:gridCol w:w="353"/>
        <w:gridCol w:w="353"/>
        <w:gridCol w:w="358"/>
        <w:gridCol w:w="109"/>
        <w:gridCol w:w="109"/>
        <w:gridCol w:w="109"/>
        <w:gridCol w:w="434"/>
        <w:gridCol w:w="434"/>
        <w:gridCol w:w="616"/>
      </w:tblGrid>
      <w:tr>
        <w:trPr/>
        <w:tc>
          <w:tcPr>
            <w:tcW w:w="74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1-475</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2"/>
              </w:rPr>
            </w:pPr>
            <w:r>
              <w:rPr>
                <w:rFonts w:ascii="Times New Roman;serif" w:hAnsi="Times New Roman;serif"/>
                <w:b/>
                <w:color w:val="000000"/>
                <w:sz w:val="22"/>
              </w:rPr>
              <w:t>39-0619790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11270 West Park Place, Milwaukee, Wisconsin 53224</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 including zip code)</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(414) 359-4000</w:t>
      </w:r>
    </w:p>
    <w:p>
      <w:pPr>
        <w:pStyle w:val="TextBody"/>
        <w:bidi w:val="0"/>
        <w:spacing w:lineRule="auto" w:line="288" w:before="8" w:after="283"/>
        <w:jc w:val="center"/>
        <w:rPr>
          <w:rFonts w:ascii="Times New Roman;serif" w:hAnsi="Times New Roman;serif"/>
          <w:b/>
          <w:color w:val="000000"/>
          <w:sz w:val="14"/>
        </w:rPr>
      </w:pPr>
      <w:r>
        <w:rPr>
          <w:rFonts w:ascii="Times New Roman;serif" w:hAnsi="Times New Roman;serif"/>
          <w:b/>
          <w:color w:val="000000"/>
          <w:sz w:val="14"/>
        </w:rPr>
        <w:t>(Registrant’s telephone number)</w:t>
      </w:r>
    </w:p>
    <w:p>
      <w:pPr>
        <w:pStyle w:val="TextBody"/>
        <w:bidi w:val="0"/>
        <w:spacing w:lineRule="auto" w:line="288" w:before="120" w:after="120"/>
        <w:jc w:val="center"/>
        <w:rPr>
          <w:color w:val="000000"/>
        </w:rPr>
      </w:pPr>
      <w:r>
        <w:rPr>
          <w:color w:val="000000"/>
        </w:rPr>
        <w:t>——————————————</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8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176" w:type="dxa"/>
        <w:jc w:val="left"/>
        <w:tblInd w:w="0" w:type="dxa"/>
        <w:tblLayout w:type="fixed"/>
        <w:tblCellMar>
          <w:top w:w="28" w:type="dxa"/>
          <w:left w:w="28" w:type="dxa"/>
          <w:bottom w:w="28" w:type="dxa"/>
          <w:right w:w="28" w:type="dxa"/>
        </w:tblCellMar>
      </w:tblPr>
      <w:tblGrid>
        <w:gridCol w:w="1236"/>
        <w:gridCol w:w="1088"/>
        <w:gridCol w:w="1095"/>
        <w:gridCol w:w="109"/>
        <w:gridCol w:w="109"/>
        <w:gridCol w:w="109"/>
        <w:gridCol w:w="294"/>
        <w:gridCol w:w="294"/>
        <w:gridCol w:w="296"/>
        <w:gridCol w:w="109"/>
        <w:gridCol w:w="109"/>
        <w:gridCol w:w="109"/>
        <w:gridCol w:w="650"/>
        <w:gridCol w:w="650"/>
        <w:gridCol w:w="919"/>
      </w:tblGrid>
      <w:tr>
        <w:trPr/>
        <w:tc>
          <w:tcPr>
            <w:tcW w:w="123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w:t>
              <w:br/>
              <w:t>on which registered</w:t>
            </w:r>
          </w:p>
        </w:tc>
      </w:tr>
      <w:tr>
        <w:trPr/>
        <w:tc>
          <w:tcPr>
            <w:tcW w:w="3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309" w:before="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309" w:before="0" w:after="18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30" w:after="283"/>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2.02.    Results of Operations and Financial Condition</w:t>
      </w:r>
    </w:p>
    <w:p>
      <w:pPr>
        <w:pStyle w:val="TextBody"/>
        <w:bidi w:val="0"/>
        <w:spacing w:lineRule="auto" w:line="309" w:before="137" w:after="283"/>
        <w:ind w:left="0" w:right="0" w:firstLine="459"/>
        <w:jc w:val="both"/>
        <w:rPr>
          <w:rFonts w:ascii="Times New Roman;serif" w:hAnsi="Times New Roman;serif"/>
          <w:b w:val="false"/>
          <w:color w:val="000000"/>
          <w:sz w:val="18"/>
        </w:rPr>
      </w:pPr>
      <w:r>
        <w:rPr>
          <w:rFonts w:ascii="Times New Roman;serif" w:hAnsi="Times New Roman;serif"/>
          <w:b w:val="false"/>
          <w:color w:val="000000"/>
          <w:sz w:val="18"/>
        </w:rPr>
        <w:t>On July 30, 2026, A. O. Smith Corporation (“the Company”) issued a news release announcing the Company’s results for the quarter ended June 30, 2026. A copy of the Company’s news release is attached as Exhibit 99.1 to this Current Report on Form 8-K (this “Current Report”) and is incorporated by reference herein.</w:t>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138" w:after="283"/>
        <w:jc w:val="left"/>
        <w:rPr>
          <w:rFonts w:ascii="Times New Roman;serif" w:hAnsi="Times New Roman;serif"/>
          <w:b w:val="false"/>
          <w:color w:val="000000"/>
          <w:sz w:val="18"/>
        </w:rPr>
      </w:pPr>
      <w:r>
        <w:rPr>
          <w:rFonts w:ascii="Times New Roman;serif" w:hAnsi="Times New Roman;serif"/>
          <w:b w:val="false"/>
          <w:color w:val="000000"/>
          <w:sz w:val="18"/>
        </w:rPr>
        <w:t>The following exhibit is being filed herewith:</w:t>
      </w:r>
    </w:p>
    <w:p>
      <w:pPr>
        <w:pStyle w:val="TextBody"/>
        <w:bidi w:val="0"/>
        <w:spacing w:before="5" w:after="283"/>
        <w:jc w:val="left"/>
        <w:rPr/>
      </w:pPr>
      <w:r>
        <w:rPr/>
      </w:r>
    </w:p>
    <w:p>
      <w:pPr>
        <w:pStyle w:val="TextBody"/>
        <w:bidi w:val="0"/>
        <w:spacing w:lineRule="auto" w:line="288" w:before="0" w:after="0"/>
        <w:jc w:val="left"/>
        <w:rPr/>
      </w:pPr>
      <w:r>
        <w:rPr>
          <w:rFonts w:ascii="Times New Roman;serif" w:hAnsi="Times New Roman;serif"/>
          <w:b w:val="false"/>
          <w:color w:val="000000"/>
          <w:sz w:val="18"/>
        </w:rPr>
        <w:t>(99.1)    </w:t>
      </w:r>
      <w:hyperlink w:anchor="a6302026exhibit991.htm">
        <w:r>
          <w:rPr>
            <w:rStyle w:val="InternetLink"/>
            <w:rFonts w:ascii="Times New Roman;serif" w:hAnsi="Times New Roman;serif"/>
            <w:b w:val="false"/>
            <w:color w:val="0000ED"/>
            <w:sz w:val="18"/>
            <w:u w:val="single"/>
          </w:rPr>
          <w:t>News Release of A. O. Smith Corporation, dated July 30, 2026</w:t>
        </w:r>
      </w:hyperlink>
    </w:p>
    <w:p>
      <w:pPr>
        <w:pStyle w:val="TextBody"/>
        <w:bidi w:val="0"/>
        <w:spacing w:lineRule="auto" w:line="288" w:before="138" w:after="283"/>
        <w:jc w:val="left"/>
        <w:rPr>
          <w:rFonts w:ascii="Times New Roman;serif" w:hAnsi="Times New Roman;serif"/>
          <w:b w:val="false"/>
          <w:color w:val="000000"/>
          <w:sz w:val="18"/>
        </w:rPr>
      </w:pPr>
      <w:r>
        <w:rPr>
          <w:rFonts w:ascii="Times New Roman;serif" w:hAnsi="Times New Roman;serif"/>
          <w:b w:val="false"/>
          <w:color w:val="000000"/>
          <w:sz w:val="18"/>
        </w:rPr>
        <w:t>104    Cover Page Interactive Data File (embedded with the Inline XBRL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30" w:after="283"/>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11" w:after="283"/>
        <w:jc w:val="left"/>
        <w:rPr/>
      </w:pPr>
      <w:r>
        <w:rPr/>
      </w:r>
    </w:p>
    <w:p>
      <w:pPr>
        <w:pStyle w:val="TextBody"/>
        <w:bidi w:val="0"/>
        <w:spacing w:lineRule="auto" w:line="309"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5" w:after="283"/>
        <w:jc w:val="left"/>
        <w:rPr/>
      </w:pPr>
      <w:r>
        <w:rPr/>
      </w:r>
    </w:p>
    <w:p>
      <w:pPr>
        <w:pStyle w:val="TextBody"/>
        <w:bidi w:val="0"/>
        <w:spacing w:before="0" w:after="0"/>
        <w:jc w:val="left"/>
        <w:rPr/>
      </w:pPr>
      <w:r>
        <w:rPr/>
      </w:r>
    </w:p>
    <w:tbl>
      <w:tblPr>
        <w:tblW w:w="9541" w:type="dxa"/>
        <w:jc w:val="left"/>
        <w:tblInd w:w="0" w:type="dxa"/>
        <w:tblLayout w:type="fixed"/>
        <w:tblCellMar>
          <w:top w:w="28" w:type="dxa"/>
          <w:left w:w="28" w:type="dxa"/>
          <w:bottom w:w="28" w:type="dxa"/>
          <w:right w:w="28" w:type="dxa"/>
        </w:tblCellMar>
      </w:tblPr>
      <w:tblGrid>
        <w:gridCol w:w="547"/>
        <w:gridCol w:w="482"/>
        <w:gridCol w:w="485"/>
        <w:gridCol w:w="109"/>
        <w:gridCol w:w="109"/>
        <w:gridCol w:w="109"/>
        <w:gridCol w:w="109"/>
        <w:gridCol w:w="109"/>
        <w:gridCol w:w="109"/>
        <w:gridCol w:w="109"/>
        <w:gridCol w:w="109"/>
        <w:gridCol w:w="109"/>
        <w:gridCol w:w="277"/>
        <w:gridCol w:w="277"/>
        <w:gridCol w:w="277"/>
        <w:gridCol w:w="277"/>
        <w:gridCol w:w="277"/>
        <w:gridCol w:w="277"/>
        <w:gridCol w:w="1558"/>
        <w:gridCol w:w="1558"/>
        <w:gridCol w:w="2268"/>
      </w:tblGrid>
      <w:tr>
        <w:trPr/>
        <w:tc>
          <w:tcPr>
            <w:tcW w:w="54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 O. SMITH CORPORATION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Date: 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/s/James F. Stern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James F. Stern</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Corporate Development, Strategy and Secretary</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649605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496050" cy="1066800"/>
                    </a:xfrm>
                    <a:prstGeom prst="rect">
                      <a:avLst/>
                    </a:prstGeom>
                  </pic:spPr>
                </pic:pic>
              </a:graphicData>
            </a:graphic>
          </wp:inline>
        </w:drawing>
      </w:r>
    </w:p>
    <w:tbl>
      <w:tblPr>
        <w:tblW w:w="518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05"/>
        <w:gridCol w:w="705"/>
        <w:gridCol w:w="706"/>
        <w:gridCol w:w="109"/>
        <w:gridCol w:w="109"/>
        <w:gridCol w:w="109"/>
        <w:gridCol w:w="606"/>
        <w:gridCol w:w="606"/>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Media Relations: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Curt Selby</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414-359-4191</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curt.selby@aosmith.com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Investor Relations:</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Helen Gurholt</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414-359-4157</w:t>
            </w:r>
          </w:p>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hgurholt@aosmith.com</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FOR IMMEDIATE RELEASE</w:t>
      </w:r>
    </w:p>
    <w:p>
      <w:pPr>
        <w:pStyle w:val="TextBody"/>
        <w:bidi w:val="0"/>
        <w:spacing w:lineRule="auto" w:line="288" w:before="240" w:after="283"/>
        <w:jc w:val="right"/>
        <w:rPr>
          <w:rFonts w:ascii="Times New Roman;serif" w:hAnsi="Times New Roman;serif"/>
          <w:b w:val="false"/>
          <w:color w:val="000000"/>
          <w:sz w:val="20"/>
        </w:rPr>
      </w:pPr>
      <w:r>
        <w:rPr>
          <w:rFonts w:ascii="Times New Roman;serif" w:hAnsi="Times New Roman;serif"/>
          <w:b w:val="false"/>
          <w:color w:val="000000"/>
          <w:sz w:val="20"/>
        </w:rPr>
        <w:t>July 30, 2026</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8"/>
        </w:rPr>
      </w:pPr>
      <w:r>
        <w:rPr>
          <w:rFonts w:ascii="Times New Roman;serif" w:hAnsi="Times New Roman;serif"/>
          <w:b/>
          <w:color w:val="000000"/>
          <w:sz w:val="28"/>
        </w:rPr>
        <w:t>A. O. Smith Reports Second Quarter 2026 Results</w:t>
      </w:r>
    </w:p>
    <w:p>
      <w:pPr>
        <w:pStyle w:val="TextBody"/>
        <w:bidi w:val="0"/>
        <w:spacing w:lineRule="auto" w:line="417"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Second Quarter 2026 Highlights</w:t>
      </w:r>
    </w:p>
    <w:p>
      <w:pPr>
        <w:pStyle w:val="TextBody"/>
        <w:bidi w:val="0"/>
        <w:spacing w:lineRule="auto" w:line="417"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(Comparisons are year-over-year (“YoY”), unless otherwise noted)</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Sales of $1 billion; net earnings of $125 million and diluted earnings per share (EPS) of $0.91; adjusted earnings of $142 million</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and adjusted EPS of $1.03</w:t>
      </w:r>
      <w:r>
        <w:rPr>
          <w:rFonts w:ascii="Times New Roman;serif" w:hAnsi="Times New Roman;serif"/>
          <w:b w:val="false"/>
          <w:color w:val="000000"/>
          <w:sz w:val="13"/>
        </w:rPr>
        <w:t>1</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North America segment sales of $820.5 million increased 5% driven by the Leonard Valve acquisition, 21% boiler sales growth and carryover pricing actions, partially offset by lower residential water heater volumes</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Rest of World segment sales of $194.9 million decreased 19%, reflecting continued weakness in China's consumer appliance market</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Year-to-date operating cash flow increased 42% to $254 million and free cash flow increased 67% to $233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2026 full year share repurchase target increased to $300 million</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2026 full year sales EPS guidance updated to</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Sales growth of between 2% and 3%</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Diluted EPS of between $3.60 and $3.75</w:t>
      </w:r>
    </w:p>
    <w:p>
      <w:pPr>
        <w:pStyle w:val="TextBody"/>
        <w:bidi w:val="0"/>
        <w:spacing w:lineRule="auto" w:line="417" w:before="0" w:after="0"/>
        <w:ind w:left="0" w:right="0" w:hanging="360"/>
        <w:jc w:val="both"/>
        <w:rPr/>
      </w:pPr>
      <w:r>
        <w:rPr>
          <w:color w:val="000000"/>
        </w:rPr>
        <w:t>◦</w:t>
      </w:r>
      <w:r>
        <w:rPr>
          <w:rFonts w:ascii="Times New Roman;serif" w:hAnsi="Times New Roman;serif"/>
          <w:b w:val="false"/>
          <w:color w:val="000000"/>
          <w:sz w:val="20"/>
        </w:rPr>
        <w:t>Adjusted EPS of between $3.70 and $3.85</w:t>
      </w:r>
    </w:p>
    <w:p>
      <w:pPr>
        <w:pStyle w:val="TextBody"/>
        <w:bidi w:val="0"/>
        <w:spacing w:lineRule="auto" w:line="417" w:before="120" w:after="283"/>
        <w:jc w:val="both"/>
        <w:rPr/>
      </w:pPr>
      <w:r>
        <w:rPr>
          <w:rFonts w:ascii="Times New Roman;serif" w:hAnsi="Times New Roman;serif"/>
          <w:b w:val="false"/>
          <w:color w:val="000000"/>
          <w:sz w:val="10"/>
        </w:rPr>
        <w:t>1</w:t>
      </w:r>
      <w:r>
        <w:rPr>
          <w:rFonts w:ascii="Times New Roman;serif" w:hAnsi="Times New Roman;serif"/>
          <w:b w:val="false"/>
          <w:color w:val="000000"/>
          <w:sz w:val="16"/>
        </w:rPr>
        <w:t>Adjusted earnings and adjusted EPS exclude the impact of restructuring and impairment expenses associated with targeted restructuring actions taken in the North America water treatment business.</w:t>
      </w:r>
    </w:p>
    <w:p>
      <w:pPr>
        <w:pStyle w:val="TextBody"/>
        <w:bidi w:val="0"/>
        <w:spacing w:lineRule="auto" w:line="417" w:before="120" w:after="283"/>
        <w:jc w:val="both"/>
        <w:rPr/>
      </w:pPr>
      <w:r>
        <w:rPr>
          <w:rFonts w:ascii="Times New Roman;serif" w:hAnsi="Times New Roman;serif"/>
          <w:b/>
          <w:color w:val="000000"/>
          <w:sz w:val="20"/>
        </w:rPr>
        <w:t xml:space="preserve">Milwaukee, Wis.— </w:t>
      </w:r>
      <w:r>
        <w:rPr>
          <w:rFonts w:ascii="Times New Roman;serif" w:hAnsi="Times New Roman;serif"/>
          <w:b w:val="false"/>
          <w:color w:val="000000"/>
          <w:sz w:val="20"/>
        </w:rPr>
        <w:t>Global water technology company A. O. Smith Corporation (“the Company”) (NYSE: AOS) today announced its second quarter 2026 results.</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Key Financial Metrics</w:t>
      </w:r>
    </w:p>
    <w:p>
      <w:pPr>
        <w:pStyle w:val="TextBody"/>
        <w:bidi w:val="0"/>
        <w:spacing w:lineRule="auto" w:line="417" w:before="6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Second Quarter</w:t>
      </w:r>
    </w:p>
    <w:p>
      <w:pPr>
        <w:pStyle w:val="TextBody"/>
        <w:bidi w:val="0"/>
        <w:spacing w:lineRule="auto" w:line="417"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bl>
      <w:tblPr>
        <w:tblW w:w="5415" w:type="dxa"/>
        <w:jc w:val="left"/>
        <w:tblInd w:w="0" w:type="dxa"/>
        <w:tblLayout w:type="fixed"/>
        <w:tblCellMar>
          <w:top w:w="28" w:type="dxa"/>
          <w:left w:w="28" w:type="dxa"/>
          <w:bottom w:w="28" w:type="dxa"/>
          <w:right w:w="28" w:type="dxa"/>
        </w:tblCellMar>
      </w:tblPr>
      <w:tblGrid>
        <w:gridCol w:w="853"/>
        <w:gridCol w:w="747"/>
        <w:gridCol w:w="754"/>
        <w:gridCol w:w="274"/>
        <w:gridCol w:w="274"/>
        <w:gridCol w:w="278"/>
        <w:gridCol w:w="274"/>
        <w:gridCol w:w="274"/>
        <w:gridCol w:w="278"/>
        <w:gridCol w:w="412"/>
        <w:gridCol w:w="412"/>
        <w:gridCol w:w="585"/>
      </w:tblGrid>
      <w:tr>
        <w:trPr/>
        <w:tc>
          <w:tcPr>
            <w:tcW w:w="853"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Q2 2026</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Q2 2025</w:t>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 Change YoY</w:t>
            </w:r>
          </w:p>
        </w:tc>
      </w:tr>
      <w:tr>
        <w:trPr/>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$1,004.3</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$1,011.3</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$124.9</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$152.2</w:t>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$142.0</w:t>
            </w:r>
            <w:r>
              <w:rPr>
                <w:rFonts w:ascii="Times New Roman;serif" w:hAnsi="Times New Roman;serif"/>
                <w:b w:val="false"/>
                <w:color w:val="000000"/>
                <w:sz w:val="13"/>
              </w:rPr>
              <w:t>2</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$152.2</w:t>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$0.91</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$1.03</w:t>
            </w:r>
            <w:r>
              <w:rPr>
                <w:rFonts w:ascii="Times New Roman;serif" w:hAnsi="Times New Roman;serif"/>
                <w:b w:val="false"/>
                <w:color w:val="000000"/>
                <w:sz w:val="13"/>
              </w:rPr>
              <w:t>2</w:t>
            </w:r>
          </w:p>
        </w:tc>
        <w:tc>
          <w:tcPr>
            <w:tcW w:w="8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140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417" w:before="120" w:after="283"/>
        <w:jc w:val="both"/>
        <w:rPr/>
      </w:pPr>
      <w:r>
        <w:rPr>
          <w:rFonts w:ascii="Times New Roman;serif" w:hAnsi="Times New Roman;serif"/>
          <w:b w:val="false"/>
          <w:color w:val="000000"/>
          <w:sz w:val="10"/>
        </w:rPr>
        <w:t>2</w:t>
      </w:r>
      <w:r>
        <w:rPr>
          <w:rFonts w:ascii="Times New Roman;serif" w:hAnsi="Times New Roman;serif"/>
          <w:b w:val="false"/>
          <w:color w:val="000000"/>
          <w:sz w:val="16"/>
        </w:rPr>
        <w:t>Excludes North America water treatment pre-tax restructuring and impairment expenses of $22.6 million. See accompanying GAAP to Non-GAAP reconciliations</w:t>
      </w:r>
    </w:p>
    <w:p>
      <w:pPr>
        <w:pStyle w:val="TextBody"/>
        <w:bidi w:val="0"/>
        <w:spacing w:lineRule="auto" w:line="417" w:before="120" w:after="283"/>
        <w:jc w:val="both"/>
        <w:rPr>
          <w:color w:val="000000"/>
        </w:rPr>
      </w:pPr>
      <w:r>
        <w:rPr>
          <w:color w:val="000000"/>
        </w:rPr>
        <w:t>“</w:t>
      </w:r>
      <w:r>
        <w:rPr>
          <w:rFonts w:ascii="Times New Roman;serif" w:hAnsi="Times New Roman;serif"/>
          <w:b w:val="false"/>
          <w:color w:val="000000"/>
          <w:sz w:val="20"/>
        </w:rPr>
        <w:t>Our team continued to execute well in the second quarter, demonstrating the resilience of the A. O. Smith team and our business model,” said Steve Shafer, chairman and chief executive officer. “While North America continued to face softer residential water heater demand, we are pleased with the progress we are making in our market share, as well as the strong growth in our boiler business. Operational excellence and delivering for our customers remained key priorities throughout the quarter. In China, we managed through a significantly weaker market environment and continue our strategic assessment of the business. We remain committed to disciplined execution and investing in opportunities that will strengthen our competitive position and drive long-term value creation.”</w:t>
      </w:r>
    </w:p>
    <w:p>
      <w:pPr>
        <w:pStyle w:val="TextBody"/>
        <w:bidi w:val="0"/>
        <w:spacing w:lineRule="auto" w:line="417"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Segment-level Performance</w:t>
      </w:r>
    </w:p>
    <w:p>
      <w:pPr>
        <w:pStyle w:val="TextBody"/>
        <w:bidi w:val="0"/>
        <w:spacing w:lineRule="auto" w:line="417" w:before="120" w:after="283"/>
        <w:jc w:val="left"/>
        <w:rPr>
          <w:rFonts w:ascii="Times New Roman;serif" w:hAnsi="Times New Roman;serif"/>
          <w:b/>
          <w:color w:val="000000"/>
          <w:sz w:val="20"/>
        </w:rPr>
      </w:pPr>
      <w:r>
        <w:rPr>
          <w:rFonts w:ascii="Times New Roman;serif" w:hAnsi="Times New Roman;serif"/>
          <w:b/>
          <w:color w:val="000000"/>
          <w:sz w:val="20"/>
        </w:rPr>
        <w:t>North America</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Second quarter sales increased 5% to $820.5 million, driven by higher boiler volumes, the benefits of carryover pricing and a $16 million sales contribution from Leonard Valve, acquired in January 2026, partially offset by lower residential water heater volumes. Excluding Leonard Valve, organic sales increased 3%.</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 earnings were $177.2 million, and segment margin was 21.6% in the second quarter of 2026 compared to second quarter of 2025 segment earnings of $198.1 million and segment margin of 25.4%. Second quarter 2026 adjusted segment earnings and adjusted segment margin were $199.8 million and 24.4%, respectively, and exclude $22.6 million of restructuring and impairment expenses associated with a restructuring plan designed to improve profitability and accelerate growth through footprint optimization and brand rationalization in our North America water treatment business. Beginning in 2027, annual savings associated with these restructuring actions are projected to be approximately $6 million to $8 million. The year-over-year decrease in segment earnings and segment margin was primarily due to restructuring and impairment expenses. Adjusted segment earnings were slightly higher with a decrease in adjusted segment margin, primarily due to higher steel and other input costs largely offsetting realized pricing in the quarter. </w: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Rest of World</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 of World sales of $194.9 million decreased 19% compared to the prior year period and included a favorable currency translation impact of $6 million primarily related to sales in China. China sales decreased 28% in local currency due to continued weak consumer demand and a challenging market environment. </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 earnings were $10.2 million, and segment margin was 5.2% in the second quarter of 2026, compared to segment earnings of $25.3 million and segment margin of 10.5% in the same period of 2025. The lower segment earnings and segment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margin compared to the prior year were primarily due to lower China sales volumes which were partially offset by continued cost management. </w:t>
      </w:r>
    </w:p>
    <w:p>
      <w:pPr>
        <w:pStyle w:val="TextBody"/>
        <w:bidi w:val="0"/>
        <w:spacing w:lineRule="auto" w:line="417" w:before="180" w:after="283"/>
        <w:jc w:val="both"/>
        <w:rPr>
          <w:rFonts w:ascii="Times New Roman;serif" w:hAnsi="Times New Roman;serif"/>
          <w:b/>
          <w:color w:val="000000"/>
          <w:sz w:val="20"/>
        </w:rPr>
      </w:pPr>
      <w:r>
        <w:rPr>
          <w:rFonts w:ascii="Times New Roman;serif" w:hAnsi="Times New Roman;serif"/>
          <w:b/>
          <w:color w:val="000000"/>
          <w:sz w:val="20"/>
        </w:rPr>
        <w:t>Balance Sheet, Liquidity and Capital Allocation</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cash balances totaled $181.3 million and debt totaled $637.5 million, resulting in a leverage ratio of 25.7% as measured by total debt-to-total capitalization. The increased leverage ratio compared to 2025 was due to cash borrowed under a new term loan used to acquire Leonard Valve in January 2026.</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Cash provided by operations was $253.8 million and free cash flow was $233.3 million in the first half of 2026, up 42% and 67%, respectively, versus the prior year period, primarily driven by working capital management that more than offset lower earnings.</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its commitment to return capital to shareholders, the Company deployed $162.4 million to repurchase 2.6 million shares in the first half of 2026. As of June 30, 2026, authority remained to repurchase approximately 3.2 million additional shares. Supported by strong cash flow performance in the first half of the year, the Company increased its full-year 2026 share repurchase target by 50% to $300 million from $200 million.</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13, 2026, the Company’s board of directors approved a quarterly cash dividend of $0.36 per share for shareholders of record on July 31, payable on August 17. </w: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Outlook</w:t>
      </w:r>
    </w:p>
    <w:p>
      <w:pPr>
        <w:pStyle w:val="TextBody"/>
        <w:bidi w:val="0"/>
        <w:spacing w:lineRule="auto" w:line="417"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2026 Outlook</w:t>
      </w:r>
    </w:p>
    <w:p>
      <w:pPr>
        <w:pStyle w:val="TextBody"/>
        <w:bidi w:val="0"/>
        <w:spacing w:lineRule="auto" w:line="417"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bl>
      <w:tblPr>
        <w:tblW w:w="5127" w:type="dxa"/>
        <w:jc w:val="left"/>
        <w:tblInd w:w="0" w:type="dxa"/>
        <w:tblLayout w:type="fixed"/>
        <w:tblCellMar>
          <w:top w:w="28" w:type="dxa"/>
          <w:left w:w="28" w:type="dxa"/>
          <w:bottom w:w="28" w:type="dxa"/>
          <w:right w:w="28" w:type="dxa"/>
        </w:tblCellMar>
      </w:tblPr>
      <w:tblGrid>
        <w:gridCol w:w="854"/>
        <w:gridCol w:w="746"/>
        <w:gridCol w:w="755"/>
        <w:gridCol w:w="223"/>
        <w:gridCol w:w="223"/>
        <w:gridCol w:w="230"/>
        <w:gridCol w:w="109"/>
        <w:gridCol w:w="109"/>
        <w:gridCol w:w="109"/>
        <w:gridCol w:w="280"/>
        <w:gridCol w:w="280"/>
        <w:gridCol w:w="280"/>
        <w:gridCol w:w="269"/>
        <w:gridCol w:w="269"/>
        <w:gridCol w:w="391"/>
      </w:tblGrid>
      <w:tr>
        <w:trPr/>
        <w:tc>
          <w:tcPr>
            <w:tcW w:w="85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2026 Outlook</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High End</w:t>
            </w:r>
          </w:p>
        </w:tc>
      </w:tr>
      <w:tr>
        <w:trPr/>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$3,900</w:t>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$3,950</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92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w:t>
            </w:r>
          </w:p>
        </w:tc>
        <w:tc>
          <w:tcPr>
            <w:tcW w:w="67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$3.70</w:t>
            </w:r>
            <w:r>
              <w:rPr>
                <w:rFonts w:ascii="Times New Roman;serif" w:hAnsi="Times New Roman;serif"/>
                <w:b w:val="false"/>
                <w:color w:val="000000"/>
                <w:sz w:val="13"/>
              </w:rPr>
              <w:t>3</w:t>
            </w:r>
          </w:p>
        </w:tc>
        <w:tc>
          <w:tcPr>
            <w:tcW w:w="929"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$3.85</w:t>
            </w:r>
            <w:r>
              <w:rPr>
                <w:rFonts w:ascii="Times New Roman;serif" w:hAnsi="Times New Roman;serif"/>
                <w:b w:val="false"/>
                <w:color w:val="000000"/>
                <w:sz w:val="13"/>
              </w:rPr>
              <w:t>3</w:t>
            </w:r>
          </w:p>
        </w:tc>
      </w:tr>
    </w:tbl>
    <w:p>
      <w:pPr>
        <w:pStyle w:val="TextBody"/>
        <w:bidi w:val="0"/>
        <w:spacing w:lineRule="auto" w:line="288" w:before="60" w:after="240"/>
        <w:jc w:val="both"/>
        <w:rPr/>
      </w:pPr>
      <w:r>
        <w:rPr>
          <w:rFonts w:ascii="Times New Roman;serif" w:hAnsi="Times New Roman;serif"/>
          <w:b w:val="false"/>
          <w:color w:val="000000"/>
          <w:sz w:val="10"/>
        </w:rPr>
        <w:t>3</w:t>
      </w:r>
      <w:r>
        <w:rPr>
          <w:rFonts w:ascii="Times New Roman;serif" w:hAnsi="Times New Roman;serif"/>
          <w:b w:val="false"/>
          <w:color w:val="000000"/>
          <w:sz w:val="16"/>
        </w:rPr>
        <w:t>Excludes North America water treatment pre-tax restructuring and impairment expenses of approximately $20 million, of which $22.6 million was recognized in the second quarter. Anticipated proceeds from the sale of certain assets are expected to occur in late 2026. See accompanying GAAP to Non-GAAP reconciliations</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Due to continued softness in residential water heater industry volumes, the Company narrowed its full-year 2026 sales growth outlook to a range of 2% to 3%, compared to its previous range of 2% to 4%. The Company also narrowed its full-year 2026 adjusted EPS outlook to be between $3.70 and $3.85, from $3.70 to $4.00.</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Shafer concluded, “While residential water heater demand remains soft, we are confident in our business fundamentals, competitive position and ability to execute our strategy. Our strong cash flow generation underscores the resilience of our operating model and supports disciplined capital deployment, including our decision to increase the full-year share repurchase target by 50% as we continue returning value to shareholders.”</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guidance excludes the potential impacts from future acquisitions, any potential outcomes of the assessment of its China business and the potential impact of the recently announced changes in tariff policy.</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O. Smith will host a webcasted conference call at 10:00 a.m. (Eastern Daylight Time) today. The call can be heard live on the Company’s website. An audio replay of the call will be available on the Company’s website after the live event. To access the archived audio replay, go to the “Investors” page and select the Second Quarter 2026 Earnings Call link.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provide improved transparency into the operating results of its business, the Company is providing non-GAAP measures. Free cash flow is defined as cash provided by operations less capital expenditures. North America segment organic growth excludes the impact of Leonard Valve. Adjusted earnings, adjusted EPS and adjusted segment earnings exclude the impact of restructuring and impairment charges. Reconciliations from GAAP measures to non-GAAP measures are provided in the financial information included in this news release. </w: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417" w:before="120" w:after="283"/>
        <w:jc w:val="both"/>
        <w:rPr/>
      </w:pPr>
      <w:r>
        <w:rPr>
          <w:rFonts w:ascii="Times New Roman;serif" w:hAnsi="Times New Roman;serif"/>
          <w:b w:val="false"/>
          <w:color w:val="000000"/>
          <w:sz w:val="20"/>
        </w:rPr>
        <w:t>This release contains statements that the Company believes are “forward-looking statements” within the</w:t>
      </w:r>
      <w:r>
        <w:rPr>
          <w:color w:val="000000"/>
        </w:rPr>
        <w:t xml:space="preserve"> </w:t>
      </w:r>
      <w:r>
        <w:rPr>
          <w:rFonts w:ascii="Times New Roman;serif" w:hAnsi="Times New Roman;serif"/>
          <w:b w:val="false"/>
          <w:i/>
          <w:color w:val="000000"/>
          <w:sz w:val="20"/>
        </w:rPr>
        <w:t>meaning of the Private Securities Litigation 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further softening in U.S. residential and commercial water heater demand; further weakening in North American residential or commercial construction or instability in the Company’s replacement markets;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uncertain outcomes and costs and other potential impacts of the Company’s assessment relating to the Company’s China business;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Additional factors are discussed in the Company’s filings with Securities and Exchange Commission, including the Company’s Annual Report on Form 10-K for the year ended December 31, 2025, quarterly reports on Form 10-Q and current reports on Form 8-K. Forward-looking statements included in this news release are made only as of the date of this release,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80" w:after="283"/>
        <w:jc w:val="left"/>
        <w:rPr>
          <w:rFonts w:ascii="Times New Roman;serif" w:hAnsi="Times New Roman;serif"/>
          <w:b/>
          <w:color w:val="000000"/>
          <w:sz w:val="20"/>
        </w:rPr>
      </w:pPr>
      <w:r>
        <w:rPr>
          <w:rFonts w:ascii="Times New Roman;serif" w:hAnsi="Times New Roman;serif"/>
          <w:b/>
          <w:color w:val="000000"/>
          <w:sz w:val="20"/>
        </w:rPr>
        <w:t>About A. O. Smith</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A. O. Smith Corporation, with headquarters in Milwaukee, Wisconsin, is a global leader applying innovative technology and energy-efficient solutions to products manufactured and marketed worldwide. Listed on the New York Stock Exchange (NYSE: AOS), the Company is one of the world’s leading manufacturers of residential and commercial water heating equipment and boilers, as well as a manufacturer of water treatment and water management products. For more information, visit www.aosmith.com.</w:t>
      </w:r>
    </w:p>
    <w:p>
      <w:pPr>
        <w:pStyle w:val="TextBody"/>
        <w:bidi w:val="0"/>
        <w:spacing w:lineRule="auto" w:line="417" w:before="120" w:after="283"/>
        <w:jc w:val="left"/>
        <w:rPr>
          <w:rFonts w:ascii="Times New Roman;serif" w:hAnsi="Times New Roman;serif"/>
          <w:b w:val="false"/>
          <w:color w:val="000000"/>
          <w:sz w:val="20"/>
        </w:rPr>
      </w:pPr>
      <w:r>
        <w:rPr>
          <w:rFonts w:ascii="Times New Roman;serif" w:hAnsi="Times New Roman;serif"/>
          <w:b w:val="false"/>
          <w:color w:val="000000"/>
          <w:sz w:val="20"/>
        </w:rPr>
        <w:t>SOURCE: A. O. Smith Corporation</w:t>
      </w:r>
    </w:p>
    <w:p>
      <w:pPr>
        <w:pStyle w:val="TextBody"/>
        <w:bidi w:val="0"/>
        <w:spacing w:lineRule="auto" w:line="417" w:before="12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8"/>
        <w:gridCol w:w="1268"/>
        <w:gridCol w:w="1267"/>
        <w:gridCol w:w="119"/>
        <w:gridCol w:w="119"/>
        <w:gridCol w:w="119"/>
        <w:gridCol w:w="413"/>
        <w:gridCol w:w="413"/>
        <w:gridCol w:w="119"/>
        <w:gridCol w:w="119"/>
        <w:gridCol w:w="119"/>
        <w:gridCol w:w="119"/>
        <w:gridCol w:w="119"/>
        <w:gridCol w:w="119"/>
        <w:gridCol w:w="119"/>
        <w:gridCol w:w="413"/>
        <w:gridCol w:w="413"/>
        <w:gridCol w:w="119"/>
        <w:gridCol w:w="109"/>
        <w:gridCol w:w="109"/>
        <w:gridCol w:w="109"/>
        <w:gridCol w:w="109"/>
        <w:gridCol w:w="109"/>
        <w:gridCol w:w="109"/>
        <w:gridCol w:w="413"/>
        <w:gridCol w:w="413"/>
        <w:gridCol w:w="109"/>
        <w:gridCol w:w="109"/>
        <w:gridCol w:w="109"/>
        <w:gridCol w:w="109"/>
        <w:gridCol w:w="109"/>
        <w:gridCol w:w="109"/>
        <w:gridCol w:w="109"/>
        <w:gridCol w:w="413"/>
        <w:gridCol w:w="413"/>
        <w:gridCol w:w="162"/>
      </w:tblGrid>
      <w:tr>
        <w:trPr/>
        <w:tc>
          <w:tcPr>
            <w:tcW w:w="147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share of common stock</w:t>
            </w:r>
            <w:r>
              <w:rPr>
                <w:rFonts w:ascii="Times New Roman;serif" w:hAnsi="Times New Roman;serif"/>
                <w:b/>
                <w:color w:val="000000"/>
                <w:sz w:val="13"/>
              </w:rPr>
              <w:t>(1)</w:t>
            </w:r>
          </w:p>
        </w:tc>
        <w:tc>
          <w:tcPr>
            <w:tcW w:w="3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(000’s omitted)</w:t>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137,863 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142,484 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143,440 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Earnings per share amounts are calculated discretely and, therefore, may not add up to the total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left"/>
        <w:rPr>
          <w:color w:val="000000"/>
        </w:rPr>
      </w:pPr>
      <w:r>
        <w:rPr>
          <w:color w:val="000000"/>
        </w:rPr>
        <w:t> </w:t>
      </w:r>
    </w:p>
    <w:tbl>
      <w:tblPr>
        <w:tblW w:w="8625" w:type="dxa"/>
        <w:jc w:val="left"/>
        <w:tblInd w:w="0" w:type="dxa"/>
        <w:tblLayout w:type="fixed"/>
        <w:tblCellMar>
          <w:top w:w="28" w:type="dxa"/>
          <w:left w:w="28" w:type="dxa"/>
          <w:bottom w:w="28" w:type="dxa"/>
          <w:right w:w="28" w:type="dxa"/>
        </w:tblCellMar>
      </w:tblPr>
      <w:tblGrid>
        <w:gridCol w:w="1582"/>
        <w:gridCol w:w="1393"/>
        <w:gridCol w:w="1405"/>
        <w:gridCol w:w="299"/>
        <w:gridCol w:w="299"/>
        <w:gridCol w:w="299"/>
        <w:gridCol w:w="383"/>
        <w:gridCol w:w="383"/>
        <w:gridCol w:w="301"/>
        <w:gridCol w:w="109"/>
        <w:gridCol w:w="109"/>
        <w:gridCol w:w="109"/>
        <w:gridCol w:w="267"/>
        <w:gridCol w:w="267"/>
        <w:gridCol w:w="267"/>
        <w:gridCol w:w="383"/>
        <w:gridCol w:w="383"/>
        <w:gridCol w:w="387"/>
      </w:tblGrid>
      <w:tr>
        <w:trPr/>
        <w:tc>
          <w:tcPr>
            <w:tcW w:w="1582"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 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 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3,644.5 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payables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due within one year</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8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3,644.5 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4605" cy="14605"/>
                <wp:effectExtent l="0" t="0" r="0" b="0"/>
                <wp:wrapNone/>
                <wp:docPr id="11" name="Frame1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10184" w:type="dxa"/>
        <w:jc w:val="left"/>
        <w:tblInd w:w="0" w:type="dxa"/>
        <w:tblLayout w:type="fixed"/>
        <w:tblCellMar>
          <w:top w:w="28" w:type="dxa"/>
          <w:left w:w="28" w:type="dxa"/>
          <w:bottom w:w="28" w:type="dxa"/>
          <w:right w:w="28" w:type="dxa"/>
        </w:tblCellMar>
      </w:tblPr>
      <w:tblGrid>
        <w:gridCol w:w="2739"/>
        <w:gridCol w:w="2404"/>
        <w:gridCol w:w="2417"/>
        <w:gridCol w:w="109"/>
        <w:gridCol w:w="109"/>
        <w:gridCol w:w="109"/>
        <w:gridCol w:w="344"/>
        <w:gridCol w:w="346"/>
        <w:gridCol w:w="109"/>
        <w:gridCol w:w="109"/>
        <w:gridCol w:w="109"/>
        <w:gridCol w:w="109"/>
        <w:gridCol w:w="109"/>
        <w:gridCol w:w="109"/>
        <w:gridCol w:w="109"/>
        <w:gridCol w:w="344"/>
        <w:gridCol w:w="346"/>
        <w:gridCol w:w="154"/>
      </w:tblGrid>
      <w:tr>
        <w:trPr/>
        <w:tc>
          <w:tcPr>
            <w:tcW w:w="2739"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cash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payments from stock option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in)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Business Segments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9446" w:type="dxa"/>
        <w:jc w:val="left"/>
        <w:tblInd w:w="0" w:type="dxa"/>
        <w:tblLayout w:type="fixed"/>
        <w:tblCellMar>
          <w:top w:w="28" w:type="dxa"/>
          <w:left w:w="28" w:type="dxa"/>
          <w:bottom w:w="28" w:type="dxa"/>
          <w:right w:w="28" w:type="dxa"/>
        </w:tblCellMar>
      </w:tblPr>
      <w:tblGrid>
        <w:gridCol w:w="1262"/>
        <w:gridCol w:w="1104"/>
        <w:gridCol w:w="1114"/>
        <w:gridCol w:w="121"/>
        <w:gridCol w:w="121"/>
        <w:gridCol w:w="121"/>
        <w:gridCol w:w="383"/>
        <w:gridCol w:w="383"/>
        <w:gridCol w:w="121"/>
        <w:gridCol w:w="121"/>
        <w:gridCol w:w="121"/>
        <w:gridCol w:w="121"/>
        <w:gridCol w:w="121"/>
        <w:gridCol w:w="121"/>
        <w:gridCol w:w="121"/>
        <w:gridCol w:w="383"/>
        <w:gridCol w:w="383"/>
        <w:gridCol w:w="121"/>
        <w:gridCol w:w="109"/>
        <w:gridCol w:w="109"/>
        <w:gridCol w:w="109"/>
        <w:gridCol w:w="109"/>
        <w:gridCol w:w="109"/>
        <w:gridCol w:w="109"/>
        <w:gridCol w:w="383"/>
        <w:gridCol w:w="383"/>
        <w:gridCol w:w="109"/>
        <w:gridCol w:w="109"/>
        <w:gridCol w:w="109"/>
        <w:gridCol w:w="109"/>
        <w:gridCol w:w="109"/>
        <w:gridCol w:w="109"/>
        <w:gridCol w:w="109"/>
        <w:gridCol w:w="383"/>
        <w:gridCol w:w="383"/>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w:t>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earnings elimination</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income taxes</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incomes taxes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Information</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Adjustments: North America</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includes restructuring and impairment of:</w:t>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240" w:after="283"/>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Earnings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earnings and diluted earnings per share to adjusted earnings (non-GAAP) and adjusted earnings per share (non-GAAP):</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99"/>
        <w:gridCol w:w="1529"/>
        <w:gridCol w:w="1534"/>
        <w:gridCol w:w="118"/>
        <w:gridCol w:w="118"/>
        <w:gridCol w:w="118"/>
        <w:gridCol w:w="308"/>
        <w:gridCol w:w="308"/>
        <w:gridCol w:w="118"/>
        <w:gridCol w:w="118"/>
        <w:gridCol w:w="118"/>
        <w:gridCol w:w="118"/>
        <w:gridCol w:w="118"/>
        <w:gridCol w:w="118"/>
        <w:gridCol w:w="118"/>
        <w:gridCol w:w="308"/>
        <w:gridCol w:w="308"/>
        <w:gridCol w:w="118"/>
        <w:gridCol w:w="109"/>
        <w:gridCol w:w="109"/>
        <w:gridCol w:w="109"/>
        <w:gridCol w:w="109"/>
        <w:gridCol w:w="109"/>
        <w:gridCol w:w="109"/>
        <w:gridCol w:w="308"/>
        <w:gridCol w:w="308"/>
        <w:gridCol w:w="109"/>
        <w:gridCol w:w="109"/>
        <w:gridCol w:w="109"/>
        <w:gridCol w:w="109"/>
        <w:gridCol w:w="109"/>
        <w:gridCol w:w="109"/>
        <w:gridCol w:w="109"/>
        <w:gridCol w:w="308"/>
        <w:gridCol w:w="308"/>
        <w:gridCol w:w="164"/>
      </w:tblGrid>
      <w:tr>
        <w:trPr/>
        <w:tc>
          <w:tcPr>
            <w:tcW w:w="179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 (GAAP)</w:t>
            </w:r>
          </w:p>
        </w:tc>
        <w:tc>
          <w:tcPr>
            <w:tcW w:w="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before tax</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above items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(non-GAAP)</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Diluted Earnings Per Share (GAAP)</w:t>
            </w:r>
            <w:r>
              <w:rPr>
                <w:rFonts w:ascii="Times New Roman;serif" w:hAnsi="Times New Roman;serif"/>
                <w:b/>
                <w:color w:val="000000"/>
                <w:sz w:val="13"/>
              </w:rPr>
              <w:t>(1)</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per diluted share, before tax</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on above items per diluted share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Earnings Per Share (non-GAAP)</w:t>
            </w:r>
            <w:r>
              <w:rPr>
                <w:rFonts w:ascii="Times New Roman;serif" w:hAnsi="Times New Roman;serif"/>
                <w:b/>
                <w:color w:val="000000"/>
                <w:sz w:val="13"/>
              </w:rPr>
              <w:t>(1)</w:t>
            </w:r>
          </w:p>
        </w:tc>
        <w:tc>
          <w:tcPr>
            <w:tcW w:w="3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Earnings per share amounts are calculated discretely and, therefore, may not add up to the total due to rounding.</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Sales Growth (Decline)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components of net sales growth (decline):</w:t>
      </w:r>
    </w:p>
    <w:tbl>
      <w:tblPr>
        <w:tblW w:w="8231" w:type="dxa"/>
        <w:jc w:val="left"/>
        <w:tblInd w:w="0" w:type="dxa"/>
        <w:tblLayout w:type="fixed"/>
        <w:tblCellMar>
          <w:top w:w="28" w:type="dxa"/>
          <w:left w:w="28" w:type="dxa"/>
          <w:bottom w:w="28" w:type="dxa"/>
          <w:right w:w="28" w:type="dxa"/>
        </w:tblCellMar>
      </w:tblPr>
      <w:tblGrid>
        <w:gridCol w:w="1459"/>
        <w:gridCol w:w="1279"/>
        <w:gridCol w:w="1282"/>
        <w:gridCol w:w="287"/>
        <w:gridCol w:w="287"/>
        <w:gridCol w:w="715"/>
        <w:gridCol w:w="153"/>
        <w:gridCol w:w="153"/>
        <w:gridCol w:w="153"/>
        <w:gridCol w:w="274"/>
        <w:gridCol w:w="274"/>
        <w:gridCol w:w="682"/>
        <w:gridCol w:w="153"/>
        <w:gridCol w:w="153"/>
        <w:gridCol w:w="153"/>
        <w:gridCol w:w="165"/>
        <w:gridCol w:w="165"/>
        <w:gridCol w:w="444"/>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 (Decline)</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Impact</w:t>
            </w:r>
            <w:r>
              <w:rPr>
                <w:rFonts w:ascii="Times New Roman;serif" w:hAnsi="Times New Roman;serif"/>
                <w:b w:val="false"/>
                <w:color w:val="000000"/>
                <w:sz w:val="13"/>
              </w:rPr>
              <w:t>(1)</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Impact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Organic Sales Growth (Decline) (non-GAAP)</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142" w:type="dxa"/>
        <w:jc w:val="left"/>
        <w:tblInd w:w="0" w:type="dxa"/>
        <w:tblLayout w:type="fixed"/>
        <w:tblCellMar>
          <w:top w:w="28" w:type="dxa"/>
          <w:left w:w="28" w:type="dxa"/>
          <w:bottom w:w="28" w:type="dxa"/>
          <w:right w:w="28" w:type="dxa"/>
        </w:tblCellMar>
      </w:tblPr>
      <w:tblGrid>
        <w:gridCol w:w="1459"/>
        <w:gridCol w:w="1279"/>
        <w:gridCol w:w="1282"/>
        <w:gridCol w:w="287"/>
        <w:gridCol w:w="287"/>
        <w:gridCol w:w="715"/>
        <w:gridCol w:w="143"/>
        <w:gridCol w:w="143"/>
        <w:gridCol w:w="143"/>
        <w:gridCol w:w="274"/>
        <w:gridCol w:w="274"/>
        <w:gridCol w:w="682"/>
        <w:gridCol w:w="143"/>
        <w:gridCol w:w="143"/>
        <w:gridCol w:w="143"/>
        <w:gridCol w:w="165"/>
        <w:gridCol w:w="165"/>
        <w:gridCol w:w="415"/>
      </w:tblGrid>
      <w:tr>
        <w:trPr/>
        <w:tc>
          <w:tcPr>
            <w:tcW w:w="1459"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r>
      <w:tr>
        <w:trPr/>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Growth (Decline)</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Acquisition Impact</w:t>
            </w:r>
            <w:r>
              <w:rPr>
                <w:rFonts w:ascii="Times New Roman;serif" w:hAnsi="Times New Roman;serif"/>
                <w:b w:val="false"/>
                <w:color w:val="000000"/>
                <w:sz w:val="13"/>
              </w:rPr>
              <w:t>(1)</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Foreign Exchange Impact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Organic Sales Growth (Decline) (non-GAAP)</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 acquisition effect includes the sales impact of the Leonard Valve acquisition in 2026.</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Adjusted Segment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reported earnings before provision for income taxes to total segment earnings (non-GAAP) and adjusted segment earnings (non-GAAP):</w:t>
      </w:r>
    </w:p>
    <w:p>
      <w:pPr>
        <w:pStyle w:val="TextBody"/>
        <w:bidi w:val="0"/>
        <w:spacing w:lineRule="auto" w:line="288" w:before="0" w:after="0"/>
        <w:jc w:val="left"/>
        <w:rPr>
          <w:color w:val="000000"/>
        </w:rPr>
      </w:pPr>
      <w:r>
        <w:rPr>
          <w:color w:val="000000"/>
        </w:rPr>
        <w:t> </w:t>
      </w:r>
    </w:p>
    <w:tbl>
      <w:tblPr>
        <w:tblW w:w="10015" w:type="dxa"/>
        <w:jc w:val="left"/>
        <w:tblInd w:w="0" w:type="dxa"/>
        <w:tblLayout w:type="fixed"/>
        <w:tblCellMar>
          <w:top w:w="28" w:type="dxa"/>
          <w:left w:w="28" w:type="dxa"/>
          <w:bottom w:w="28" w:type="dxa"/>
          <w:right w:w="28" w:type="dxa"/>
        </w:tblCellMar>
      </w:tblPr>
      <w:tblGrid>
        <w:gridCol w:w="1682"/>
        <w:gridCol w:w="1481"/>
        <w:gridCol w:w="1486"/>
        <w:gridCol w:w="121"/>
        <w:gridCol w:w="121"/>
        <w:gridCol w:w="121"/>
        <w:gridCol w:w="308"/>
        <w:gridCol w:w="308"/>
        <w:gridCol w:w="121"/>
        <w:gridCol w:w="121"/>
        <w:gridCol w:w="121"/>
        <w:gridCol w:w="121"/>
        <w:gridCol w:w="121"/>
        <w:gridCol w:w="121"/>
        <w:gridCol w:w="121"/>
        <w:gridCol w:w="308"/>
        <w:gridCol w:w="308"/>
        <w:gridCol w:w="121"/>
        <w:gridCol w:w="109"/>
        <w:gridCol w:w="109"/>
        <w:gridCol w:w="109"/>
        <w:gridCol w:w="109"/>
        <w:gridCol w:w="109"/>
        <w:gridCol w:w="109"/>
        <w:gridCol w:w="308"/>
        <w:gridCol w:w="308"/>
        <w:gridCol w:w="109"/>
        <w:gridCol w:w="109"/>
        <w:gridCol w:w="109"/>
        <w:gridCol w:w="109"/>
        <w:gridCol w:w="109"/>
        <w:gridCol w:w="109"/>
        <w:gridCol w:w="109"/>
        <w:gridCol w:w="308"/>
        <w:gridCol w:w="308"/>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Provision for Income Taxes (GAAP)</w:t>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Corporate expense</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 (non-GAAP)</w:t>
            </w:r>
          </w:p>
        </w:tc>
        <w:tc>
          <w:tcPr>
            <w:tcW w:w="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North America</w:t>
            </w:r>
            <w:r>
              <w:rPr>
                <w:rFonts w:ascii="Times New Roman;serif" w:hAnsi="Times New Roman;serif"/>
                <w:b w:val="false"/>
                <w:color w:val="000000"/>
                <w:sz w:val="13"/>
              </w:rPr>
              <w:t>(1)</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World</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earnings elimination</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Earnings (non-GAAP)</w:t>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Additional Information</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North America Segment Earnings </w:t>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 before tax</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North America Segment Earnings (non-GAAP)</w:t>
            </w:r>
          </w:p>
        </w:tc>
        <w:tc>
          <w:tcPr>
            <w:tcW w:w="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reported cash flow from operating activities to free cash flow (non-GAAP):</w:t>
      </w:r>
    </w:p>
    <w:p>
      <w:pPr>
        <w:pStyle w:val="TextBody"/>
        <w:bidi w:val="0"/>
        <w:spacing w:before="0" w:after="0"/>
        <w:jc w:val="left"/>
        <w:rPr/>
      </w:pPr>
      <w:r>
        <w:rPr/>
      </w:r>
    </w:p>
    <w:tbl>
      <w:tblPr>
        <w:tblW w:w="6465" w:type="dxa"/>
        <w:jc w:val="left"/>
        <w:tblInd w:w="0" w:type="dxa"/>
        <w:tblLayout w:type="fixed"/>
        <w:tblCellMar>
          <w:top w:w="28" w:type="dxa"/>
          <w:left w:w="28" w:type="dxa"/>
          <w:bottom w:w="28" w:type="dxa"/>
          <w:right w:w="28" w:type="dxa"/>
        </w:tblCellMar>
      </w:tblPr>
      <w:tblGrid>
        <w:gridCol w:w="1442"/>
        <w:gridCol w:w="1269"/>
        <w:gridCol w:w="1278"/>
        <w:gridCol w:w="109"/>
        <w:gridCol w:w="109"/>
        <w:gridCol w:w="109"/>
        <w:gridCol w:w="308"/>
        <w:gridCol w:w="308"/>
        <w:gridCol w:w="109"/>
        <w:gridCol w:w="109"/>
        <w:gridCol w:w="109"/>
        <w:gridCol w:w="109"/>
        <w:gridCol w:w="109"/>
        <w:gridCol w:w="109"/>
        <w:gridCol w:w="109"/>
        <w:gridCol w:w="308"/>
        <w:gridCol w:w="308"/>
        <w:gridCol w:w="154"/>
      </w:tblGrid>
      <w:tr>
        <w:trPr/>
        <w:tc>
          <w:tcPr>
            <w:tcW w:w="144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w:t>
              <w:br/>
              <w:t>June 30,</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operating activities (GAAP)</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(non-GAAP)</w:t>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 O. SMITH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Adjusted EPS Guidance and 2025 EPS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diluted EPS to adjusted EPS (non-GAAP) (all items are net of tax):</w:t>
      </w:r>
    </w:p>
    <w:p>
      <w:pPr>
        <w:pStyle w:val="TextBody"/>
        <w:bidi w:val="0"/>
        <w:spacing w:before="0" w:after="0"/>
        <w:jc w:val="left"/>
        <w:rPr/>
      </w:pPr>
      <w:r>
        <w:rPr/>
      </w:r>
    </w:p>
    <w:tbl>
      <w:tblPr>
        <w:tblW w:w="6301" w:type="dxa"/>
        <w:jc w:val="left"/>
        <w:tblInd w:w="0" w:type="dxa"/>
        <w:tblLayout w:type="fixed"/>
        <w:tblCellMar>
          <w:top w:w="28" w:type="dxa"/>
          <w:left w:w="28" w:type="dxa"/>
          <w:bottom w:w="28" w:type="dxa"/>
          <w:right w:w="28" w:type="dxa"/>
        </w:tblCellMar>
      </w:tblPr>
      <w:tblGrid>
        <w:gridCol w:w="1204"/>
        <w:gridCol w:w="1058"/>
        <w:gridCol w:w="1067"/>
        <w:gridCol w:w="147"/>
        <w:gridCol w:w="147"/>
        <w:gridCol w:w="147"/>
        <w:gridCol w:w="291"/>
        <w:gridCol w:w="291"/>
        <w:gridCol w:w="303"/>
        <w:gridCol w:w="109"/>
        <w:gridCol w:w="109"/>
        <w:gridCol w:w="109"/>
        <w:gridCol w:w="109"/>
        <w:gridCol w:w="109"/>
        <w:gridCol w:w="109"/>
        <w:gridCol w:w="109"/>
        <w:gridCol w:w="109"/>
        <w:gridCol w:w="109"/>
        <w:gridCol w:w="255"/>
        <w:gridCol w:w="256"/>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br/>
              <w:t>Guidance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 (GAAP)</w:t>
            </w:r>
          </w:p>
        </w:tc>
        <w:tc>
          <w:tcPr>
            <w:tcW w:w="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impairment expenses</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EPS (non-GAAP)</w:t>
            </w:r>
          </w:p>
        </w:tc>
        <w:tc>
          <w:tcPr>
            <w:tcW w:w="441"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Includes North America water treatment pre-tax restructuring and impairment expenses of approximately $20.0 million of which $22.6 million was recognized in the second quarter. Anticipated proceeds from the sale of certain assets are expected to occur in late 2026.</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3561</Words>
  <Characters>19876</Characters>
  <CharactersWithSpaces>23020</CharactersWithSpaces>
  <Paragraphs>801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