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A.O. SMITH CORPORATION</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7,358,265.49</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10,417,816.30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10,417,816.30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9.3 %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10,417,816.30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10,417,816.30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9.3 %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97"/>
        <w:gridCol w:w="8953"/>
        <w:gridCol w:w="155"/>
      </w:tblGrid>
      <w:tr>
        <w:trPr/>
        <w:tc>
          <w:tcPr>
            <w:tcW w:w="1097" w:type="dxa"/>
            <w:tcBorders/>
            <w:vAlign w:val="center"/>
          </w:tcPr>
          <w:p>
            <w:pPr>
              <w:pStyle w:val="TableContents"/>
              <w:bidi w:val="0"/>
              <w:spacing w:before="0" w:after="283"/>
              <w:jc w:val="left"/>
              <w:rPr/>
            </w:pPr>
            <w:r>
              <w:rPr/>
              <w:t>Item 1.</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issuer: </w:t>
            </w:r>
          </w:p>
          <w:p>
            <w:pPr>
              <w:pStyle w:val="TableContents"/>
              <w:bidi w:val="0"/>
              <w:spacing w:before="0" w:after="0"/>
              <w:jc w:val="left"/>
              <w:rPr/>
            </w:pPr>
            <w:r>
              <w:rPr/>
              <w:t>A.O. SMITH CORPORATION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11270 WEST PARK PLACE,Milwaukee,WI,USA,53224</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2.</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3.</w:t>
            </w:r>
          </w:p>
        </w:tc>
        <w:tc>
          <w:tcPr>
            <w:tcW w:w="895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(f)</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(g)</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(h)</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(j)</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(k)</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9108" w:type="dxa"/>
            <w:gridSpan w:val="2"/>
            <w:tcBorders/>
            <w:vAlign w:val="center"/>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4.</w:t>
            </w:r>
          </w:p>
        </w:tc>
        <w:tc>
          <w:tcPr>
            <w:tcW w:w="895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10417816.30</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9.3  %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10417816.30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5.</w:t>
            </w:r>
          </w:p>
        </w:tc>
        <w:tc>
          <w:tcPr>
            <w:tcW w:w="895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6.</w:t>
            </w:r>
          </w:p>
        </w:tc>
        <w:tc>
          <w:tcPr>
            <w:tcW w:w="895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A.O. SMITH CORPORATION. No one other person's interest in the COMMON STOCK of A.O. SMITH CORPORATION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7.</w:t>
            </w:r>
          </w:p>
        </w:tc>
        <w:tc>
          <w:tcPr>
            <w:tcW w:w="895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8.</w:t>
            </w:r>
          </w:p>
        </w:tc>
        <w:tc>
          <w:tcPr>
            <w:tcW w:w="895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9.</w:t>
            </w:r>
          </w:p>
        </w:tc>
        <w:tc>
          <w:tcPr>
            <w:tcW w:w="895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Diversifying Solutions LLC  IA</w:t>
      </w:r>
    </w:p>
    <w:p>
      <w:pPr>
        <w:pStyle w:val="PreformattedText"/>
        <w:bidi w:val="0"/>
        <w:spacing w:before="0" w:after="0"/>
        <w:jc w:val="left"/>
        <w:rPr/>
      </w:pPr>
      <w:r>
        <w:rPr/>
        <w:t>Fidelity Institutional Asset Management Trust Company  BK</w:t>
      </w:r>
    </w:p>
    <w:p>
      <w:pPr>
        <w:pStyle w:val="PreformattedText"/>
        <w:bidi w:val="0"/>
        <w:spacing w:before="0" w:after="0"/>
        <w:jc w:val="left"/>
        <w:rPr/>
      </w:pPr>
      <w:r>
        <w:rPr/>
        <w:t>Fidelity Management &amp; Research Company LLC * IA</w:t>
      </w:r>
    </w:p>
    <w:p>
      <w:pPr>
        <w:pStyle w:val="PreformattedText"/>
        <w:bidi w:val="0"/>
        <w:spacing w:before="0" w:after="0"/>
        <w:jc w:val="left"/>
        <w:rPr/>
      </w:pPr>
      <w:r>
        <w:rPr/>
        <w:t>Strategic Advisers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Entity beneficially owns 5% or greater of the outstanding shares of the</w:t>
      </w:r>
    </w:p>
    <w:p>
      <w:pPr>
        <w:pStyle w:val="PreformattedText"/>
        <w:bidi w:val="0"/>
        <w:spacing w:before="0" w:after="0"/>
        <w:jc w:val="left"/>
        <w:rPr/>
      </w:pPr>
      <w:r>
        <w:rPr/>
        <w:t>security class being reported on this Schedule 13G.</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August 5,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A.O. SMITH CORPORATION at June 30,</w:t>
      </w:r>
    </w:p>
    <w:p>
      <w:pPr>
        <w:pStyle w:val="PreformattedText"/>
        <w:bidi w:val="0"/>
        <w:spacing w:before="0" w:after="0"/>
        <w:jc w:val="left"/>
        <w:rPr/>
      </w:pPr>
      <w:r>
        <w:rPr/>
        <w:t>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1635</Words>
  <Characters>8399</Characters>
  <CharactersWithSpaces>9956</CharactersWithSpaces>
  <Paragraphs>265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